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A44" w:rsidRPr="00F30B23" w:rsidRDefault="00A75A44" w:rsidP="00F30B23">
      <w:pPr>
        <w:ind w:firstLine="567"/>
        <w:rPr>
          <w:rFonts w:ascii="PI Barlow MAT Light" w:hAnsi="PI Barlow MAT Light"/>
          <w:color w:val="00A3BC"/>
          <w:sz w:val="28"/>
          <w:szCs w:val="28"/>
        </w:rPr>
      </w:pPr>
      <w:r w:rsidRPr="00F30B23">
        <w:rPr>
          <w:rFonts w:ascii="PI Barlow MAT Light" w:hAnsi="PI Barlow MAT Light"/>
          <w:b/>
          <w:color w:val="00A3BC"/>
          <w:sz w:val="28"/>
          <w:szCs w:val="28"/>
        </w:rPr>
        <w:t>GIK</w:t>
      </w:r>
      <w:r w:rsidR="00022CBD" w:rsidRPr="00F30B23">
        <w:rPr>
          <w:rFonts w:ascii="PI Barlow MAT Light" w:hAnsi="PI Barlow MAT Light"/>
          <w:b/>
          <w:color w:val="00A3BC"/>
          <w:sz w:val="28"/>
          <w:szCs w:val="28"/>
        </w:rPr>
        <w:t xml:space="preserve"> -</w:t>
      </w:r>
      <w:r w:rsidR="009C6008" w:rsidRPr="00F30B23">
        <w:rPr>
          <w:rFonts w:ascii="PI Barlow MAT Light" w:hAnsi="PI Barlow MAT Light"/>
          <w:b/>
          <w:color w:val="00A3BC"/>
          <w:sz w:val="28"/>
          <w:szCs w:val="28"/>
        </w:rPr>
        <w:t xml:space="preserve"> </w:t>
      </w:r>
      <w:r w:rsidR="00022CBD" w:rsidRPr="00F30B23">
        <w:rPr>
          <w:rFonts w:ascii="PI Barlow MAT Light" w:hAnsi="PI Barlow MAT Light"/>
          <w:b/>
          <w:color w:val="00A3BC"/>
          <w:sz w:val="28"/>
          <w:szCs w:val="28"/>
        </w:rPr>
        <w:t>175</w:t>
      </w:r>
      <w:r w:rsidRPr="00F30B23">
        <w:rPr>
          <w:rFonts w:ascii="PI Barlow MAT Light" w:hAnsi="PI Barlow MAT Light"/>
          <w:b/>
          <w:color w:val="00A3BC"/>
          <w:sz w:val="28"/>
          <w:szCs w:val="28"/>
        </w:rPr>
        <w:t xml:space="preserve"> sati</w:t>
      </w:r>
      <w:r w:rsidR="009F093A" w:rsidRPr="00F30B23">
        <w:rPr>
          <w:rFonts w:ascii="PI Barlow MAT Light" w:hAnsi="PI Barlow MAT Light"/>
          <w:b/>
          <w:color w:val="00A3BC"/>
          <w:sz w:val="28"/>
          <w:szCs w:val="28"/>
        </w:rPr>
        <w:t xml:space="preserve"> </w:t>
      </w:r>
      <w:r w:rsidR="009F093A" w:rsidRPr="00F30B23">
        <w:rPr>
          <w:rFonts w:ascii="PI Barlow MAT Light" w:hAnsi="PI Barlow MAT Light"/>
          <w:color w:val="00A3BC"/>
          <w:sz w:val="28"/>
          <w:szCs w:val="28"/>
        </w:rPr>
        <w:t>(1</w:t>
      </w:r>
      <w:r w:rsidR="00022CBD" w:rsidRPr="00F30B23">
        <w:rPr>
          <w:rFonts w:ascii="PI Barlow MAT Light" w:hAnsi="PI Barlow MAT Light"/>
          <w:color w:val="00A3BC"/>
          <w:sz w:val="28"/>
          <w:szCs w:val="28"/>
        </w:rPr>
        <w:t>55</w:t>
      </w:r>
      <w:r w:rsidR="009F093A" w:rsidRPr="00F30B23">
        <w:rPr>
          <w:rFonts w:ascii="PI Barlow MAT Light" w:hAnsi="PI Barlow MAT Light"/>
          <w:color w:val="00A3BC"/>
          <w:sz w:val="28"/>
          <w:szCs w:val="28"/>
        </w:rPr>
        <w:t xml:space="preserve"> + 20 sati za vrednovanje i projekte)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260"/>
        <w:gridCol w:w="1134"/>
      </w:tblGrid>
      <w:tr w:rsidR="00F30B23" w:rsidRPr="00F30B23" w:rsidTr="00F30B23">
        <w:tc>
          <w:tcPr>
            <w:tcW w:w="4820" w:type="dxa"/>
            <w:shd w:val="clear" w:color="auto" w:fill="00A3BC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Tema</w:t>
            </w:r>
          </w:p>
        </w:tc>
        <w:tc>
          <w:tcPr>
            <w:tcW w:w="3260" w:type="dxa"/>
            <w:shd w:val="clear" w:color="auto" w:fill="00A3BC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1134" w:type="dxa"/>
            <w:shd w:val="clear" w:color="auto" w:fill="00A3BC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Broj sati</w:t>
            </w:r>
          </w:p>
        </w:tc>
      </w:tr>
      <w:tr w:rsidR="00022CBD" w:rsidRPr="00022CBD" w:rsidTr="00AF76ED">
        <w:tc>
          <w:tcPr>
            <w:tcW w:w="482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sz w:val="24"/>
                <w:szCs w:val="24"/>
                <w:lang w:eastAsia="hr-HR"/>
              </w:rPr>
              <w:t>1. REALNI BROJEVI I NJIHOVA SVOJSTVA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Prirodni, cijeli i racionalni brojevi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Realni brojevi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Intervali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Operacije s realnim brojevima</w:t>
            </w:r>
          </w:p>
        </w:tc>
        <w:tc>
          <w:tcPr>
            <w:tcW w:w="326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A. 1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Računa s realnim brojevima.</w:t>
            </w:r>
          </w:p>
        </w:tc>
        <w:tc>
          <w:tcPr>
            <w:tcW w:w="1134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15</w:t>
            </w:r>
          </w:p>
        </w:tc>
      </w:tr>
      <w:tr w:rsidR="00022CBD" w:rsidRPr="00022CBD" w:rsidTr="00AF76ED">
        <w:tc>
          <w:tcPr>
            <w:tcW w:w="482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sz w:val="24"/>
                <w:szCs w:val="24"/>
                <w:lang w:eastAsia="hr-HR"/>
              </w:rPr>
              <w:t>2. POTENCIJE S CJELOBROJNIM EKSPONENTOM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Potencije s pozitivnim eksponentom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Potencije s negativnim eksponentom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Znanstveni zapis realnog broja</w:t>
            </w:r>
          </w:p>
        </w:tc>
        <w:tc>
          <w:tcPr>
            <w:tcW w:w="326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A. 1. 1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B. 1. 1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Primjenjuje potencije racionalne baze i cjelobrojnoga eksponenta.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16</w:t>
            </w:r>
          </w:p>
        </w:tc>
      </w:tr>
      <w:tr w:rsidR="00022CBD" w:rsidRPr="00022CBD" w:rsidTr="00AF76ED">
        <w:tc>
          <w:tcPr>
            <w:tcW w:w="482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sz w:val="24"/>
                <w:szCs w:val="24"/>
                <w:lang w:eastAsia="hr-HR"/>
              </w:rPr>
              <w:t>3. ALGEBARSKI IZRAZI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Monomi i polinomi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Množenje polinoma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Vrijednost algebarskog izraza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Faktorizacija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Algebarski razlomci</w:t>
            </w:r>
          </w:p>
        </w:tc>
        <w:tc>
          <w:tcPr>
            <w:tcW w:w="326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B. 1. 2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Računa s algebarskim izrazima i algebarskim razlomcima</w:t>
            </w:r>
            <w:r w:rsidR="009C6008"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20</w:t>
            </w:r>
          </w:p>
        </w:tc>
      </w:tr>
      <w:tr w:rsidR="00022CBD" w:rsidRPr="00022CBD" w:rsidTr="00AF76ED">
        <w:tc>
          <w:tcPr>
            <w:tcW w:w="482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sz w:val="24"/>
                <w:szCs w:val="24"/>
                <w:lang w:eastAsia="hr-HR"/>
              </w:rPr>
              <w:t>4. LINEARNE JEDNADŽBE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Rješavanje jednadžbi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Sustavi linearnih jednadžbi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Jednadžbe s apsolutnim vrijednostima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Primjena jednadžbi 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Linearne diofantske jednadžbe</w:t>
            </w:r>
          </w:p>
        </w:tc>
        <w:tc>
          <w:tcPr>
            <w:tcW w:w="326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B 1. 3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Primjenjuje proporcionalnost, postotke, linearne jednadžbe i sustave linearnih jednadžbi</w:t>
            </w:r>
            <w:r w:rsidR="009C6008"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.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B 1. 4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Primjenjuje linearne diofantske jednadžbe</w:t>
            </w:r>
            <w:r w:rsidR="009C6008"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20</w:t>
            </w:r>
          </w:p>
        </w:tc>
      </w:tr>
      <w:tr w:rsidR="00022CBD" w:rsidRPr="00022CBD" w:rsidTr="00F30B23">
        <w:trPr>
          <w:trHeight w:val="3062"/>
        </w:trPr>
        <w:tc>
          <w:tcPr>
            <w:tcW w:w="482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 </w:t>
            </w:r>
            <w:r w:rsidRPr="00F30B23">
              <w:rPr>
                <w:rFonts w:ascii="PI Barlow MAT Light" w:eastAsia="Times New Roman" w:hAnsi="PI Barlow MAT Light" w:cs="Arial"/>
                <w:b/>
                <w:bCs/>
                <w:sz w:val="24"/>
                <w:szCs w:val="24"/>
                <w:lang w:eastAsia="hr-HR"/>
              </w:rPr>
              <w:t>5. LINEARNE NEJEDNADŽBE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Rješavanje nejednadžbi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Sustavi nejednadžbi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Rješavanje složenijih nejednadžbi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Nejednadžbe s apsolutnim vrijednostima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Primjena nejednadžbi</w:t>
            </w:r>
          </w:p>
        </w:tc>
        <w:tc>
          <w:tcPr>
            <w:tcW w:w="326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B. 1. 8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Prikazuje operacije sa skupovima i rješenja nejednadžbi pomoću intervala.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B. 1. 5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Primjenjuje linearne nejednadžbe.</w:t>
            </w:r>
          </w:p>
        </w:tc>
        <w:tc>
          <w:tcPr>
            <w:tcW w:w="1134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20</w:t>
            </w:r>
          </w:p>
        </w:tc>
      </w:tr>
    </w:tbl>
    <w:p w:rsidR="00F30B23" w:rsidRDefault="00F30B23"/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260"/>
        <w:gridCol w:w="1134"/>
      </w:tblGrid>
      <w:tr w:rsidR="00F30B23" w:rsidRPr="00F30B23" w:rsidTr="00282AF5">
        <w:tc>
          <w:tcPr>
            <w:tcW w:w="4820" w:type="dxa"/>
            <w:shd w:val="clear" w:color="auto" w:fill="00A3BC"/>
            <w:hideMark/>
          </w:tcPr>
          <w:p w:rsidR="00F30B23" w:rsidRPr="00F30B23" w:rsidRDefault="00F30B23" w:rsidP="00282AF5">
            <w:pPr>
              <w:spacing w:after="150" w:line="240" w:lineRule="auto"/>
              <w:rPr>
                <w:rFonts w:ascii="PI Barlow MAT Light" w:eastAsia="Times New Roman" w:hAnsi="PI Barlow MAT Light" w:cs="Arial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Tema</w:t>
            </w:r>
          </w:p>
        </w:tc>
        <w:tc>
          <w:tcPr>
            <w:tcW w:w="3260" w:type="dxa"/>
            <w:shd w:val="clear" w:color="auto" w:fill="00A3BC"/>
            <w:hideMark/>
          </w:tcPr>
          <w:p w:rsidR="00F30B23" w:rsidRPr="00F30B23" w:rsidRDefault="00F30B23" w:rsidP="00282AF5">
            <w:pPr>
              <w:spacing w:after="150" w:line="240" w:lineRule="auto"/>
              <w:rPr>
                <w:rFonts w:ascii="PI Barlow MAT Light" w:eastAsia="Times New Roman" w:hAnsi="PI Barlow MAT Light" w:cs="Arial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1134" w:type="dxa"/>
            <w:shd w:val="clear" w:color="auto" w:fill="00A3BC"/>
            <w:hideMark/>
          </w:tcPr>
          <w:p w:rsidR="00F30B23" w:rsidRPr="00F30B23" w:rsidRDefault="00F30B23" w:rsidP="00282AF5">
            <w:pPr>
              <w:spacing w:after="150" w:line="240" w:lineRule="auto"/>
              <w:rPr>
                <w:rFonts w:ascii="PI Barlow MAT Light" w:eastAsia="Times New Roman" w:hAnsi="PI Barlow MAT Light" w:cs="Arial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Broj sati</w:t>
            </w:r>
          </w:p>
        </w:tc>
      </w:tr>
      <w:tr w:rsidR="00022CBD" w:rsidRPr="00022CBD" w:rsidTr="00F30B23">
        <w:trPr>
          <w:trHeight w:val="67"/>
        </w:trPr>
        <w:tc>
          <w:tcPr>
            <w:tcW w:w="482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F30B23">
              <w:rPr>
                <w:rFonts w:ascii="PI Barlow MAT Light" w:eastAsia="Times New Roman" w:hAnsi="PI Barlow MAT Light" w:cs="Arial"/>
                <w:b/>
                <w:bCs/>
                <w:sz w:val="24"/>
                <w:szCs w:val="24"/>
                <w:lang w:eastAsia="hr-HR"/>
              </w:rPr>
              <w:t>6. LINEARNA FUNKCIJA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sz w:val="24"/>
                <w:szCs w:val="24"/>
                <w:lang w:eastAsia="hr-HR"/>
              </w:rPr>
              <w:t>- </w:t>
            </w: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Koordinatni sustav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sz w:val="24"/>
                <w:szCs w:val="24"/>
                <w:lang w:eastAsia="hr-HR"/>
              </w:rPr>
              <w:t>- </w:t>
            </w: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Linearna funkcija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 xml:space="preserve">- Graf funkcije </w:t>
            </w:r>
            <w:r w:rsidR="009C6008"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 xml:space="preserve">apsolutne </w:t>
            </w: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vrijednost</w:t>
            </w:r>
            <w:r w:rsidR="009C6008"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Sustavi linearnih jednadžbi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Primjena</w:t>
            </w:r>
          </w:p>
        </w:tc>
        <w:tc>
          <w:tcPr>
            <w:tcW w:w="326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B. 1. 6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D. 1. 1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Povezuje različite prikaze linearne funkcije.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B. 1. 7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Primjenjuje linearnu funkciju pri rješavanju problem</w:t>
            </w:r>
            <w:r w:rsidR="009C6008"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a.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20</w:t>
            </w:r>
          </w:p>
        </w:tc>
      </w:tr>
      <w:tr w:rsidR="00022CBD" w:rsidRPr="00022CBD" w:rsidTr="00AF76ED">
        <w:tc>
          <w:tcPr>
            <w:tcW w:w="482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sz w:val="24"/>
                <w:szCs w:val="24"/>
                <w:lang w:eastAsia="hr-HR"/>
              </w:rPr>
              <w:t>7. SUKLADNOST I SLIČNOST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Sukladnost trokuta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sz w:val="24"/>
                <w:szCs w:val="24"/>
                <w:lang w:eastAsia="hr-HR"/>
              </w:rPr>
              <w:t>- </w:t>
            </w: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Proporcionalnost dužina i Talesov poučak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Sličnost trokuta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Karakterist</w:t>
            </w:r>
            <w:r w:rsidR="009C6008"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i</w:t>
            </w: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čne točke trokuta</w:t>
            </w:r>
          </w:p>
        </w:tc>
        <w:tc>
          <w:tcPr>
            <w:tcW w:w="326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C. 1. 1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Konstruira i analizira položaj karakterističnih točaka trokuta.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C. 1. 2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D. 1. 2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Primjenjuje Talesov poučak o proporcionalnosti dužina i sličnost</w:t>
            </w:r>
            <w:r w:rsidR="009C6008"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i</w:t>
            </w: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 xml:space="preserve"> trokuta.</w:t>
            </w:r>
          </w:p>
        </w:tc>
        <w:tc>
          <w:tcPr>
            <w:tcW w:w="1134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16</w:t>
            </w:r>
          </w:p>
        </w:tc>
      </w:tr>
      <w:tr w:rsidR="00022CBD" w:rsidRPr="00022CBD" w:rsidTr="00AF76ED">
        <w:tc>
          <w:tcPr>
            <w:tcW w:w="482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sz w:val="24"/>
                <w:szCs w:val="24"/>
                <w:lang w:eastAsia="hr-HR"/>
              </w:rPr>
              <w:t> 8. TRIGONOMETRIJA PRAVOKUTNOG TROKUTA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Trigonometrijski omjeri šiljastog kuta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Računanje trigonometrijskih omjera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Primjena trigonometrijskih omjera u planimetriji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Primjena trigonometrijskih omjera izvan matematike</w:t>
            </w:r>
          </w:p>
        </w:tc>
        <w:tc>
          <w:tcPr>
            <w:tcW w:w="326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D. 1. 3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Primjenjuje trigonometrijske omjere.</w:t>
            </w:r>
          </w:p>
        </w:tc>
        <w:tc>
          <w:tcPr>
            <w:tcW w:w="1134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16</w:t>
            </w:r>
          </w:p>
        </w:tc>
      </w:tr>
      <w:tr w:rsidR="00022CBD" w:rsidRPr="00022CBD" w:rsidTr="00AF76ED">
        <w:tc>
          <w:tcPr>
            <w:tcW w:w="482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b/>
                <w:bCs/>
                <w:sz w:val="24"/>
                <w:szCs w:val="24"/>
                <w:lang w:eastAsia="hr-HR"/>
              </w:rPr>
              <w:t>9. PODATCI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Prikaz podataka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- Srednje vrijednosti i raspršenja</w:t>
            </w:r>
          </w:p>
        </w:tc>
        <w:tc>
          <w:tcPr>
            <w:tcW w:w="3260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E. 1. 1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Barata podatcima prikazanim na različite načine.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E. 1. 2</w:t>
            </w:r>
          </w:p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Primjenjuje normalnu razdiobu</w:t>
            </w:r>
            <w:r w:rsidR="009C6008"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shd w:val="clear" w:color="auto" w:fill="FFFFFF"/>
            <w:hideMark/>
          </w:tcPr>
          <w:p w:rsidR="00022CBD" w:rsidRPr="00F30B23" w:rsidRDefault="00022CBD" w:rsidP="00022CBD">
            <w:pPr>
              <w:spacing w:after="150" w:line="240" w:lineRule="auto"/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</w:pPr>
            <w:r w:rsidRPr="00F30B23">
              <w:rPr>
                <w:rFonts w:ascii="PI Barlow MAT Light" w:eastAsia="Times New Roman" w:hAnsi="PI Barlow MAT Light" w:cs="Arial"/>
                <w:sz w:val="24"/>
                <w:szCs w:val="24"/>
                <w:lang w:eastAsia="hr-HR"/>
              </w:rPr>
              <w:t>12</w:t>
            </w:r>
          </w:p>
        </w:tc>
      </w:tr>
    </w:tbl>
    <w:p w:rsidR="00022CBD" w:rsidRPr="00022CBD" w:rsidRDefault="00022CBD" w:rsidP="00A75A44">
      <w:pPr>
        <w:rPr>
          <w:rFonts w:ascii="PI Barlow MAT Light" w:hAnsi="PI Barlow MAT Light"/>
        </w:rPr>
      </w:pPr>
    </w:p>
    <w:sectPr w:rsidR="00022CBD" w:rsidRPr="00022CBD" w:rsidSect="00A75A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I Barlow MAT Light">
    <w:altName w:val="Calibri"/>
    <w:panose1 w:val="02000506040000020004"/>
    <w:charset w:val="00"/>
    <w:family w:val="auto"/>
    <w:pitch w:val="variable"/>
    <w:sig w:usb0="A00000EF" w:usb1="0000205B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44"/>
    <w:rsid w:val="00022CBD"/>
    <w:rsid w:val="00200033"/>
    <w:rsid w:val="009C6008"/>
    <w:rsid w:val="009E490D"/>
    <w:rsid w:val="009F093A"/>
    <w:rsid w:val="00A75A44"/>
    <w:rsid w:val="00AF76ED"/>
    <w:rsid w:val="00F3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7381"/>
  <w15:chartTrackingRefBased/>
  <w15:docId w15:val="{1293A359-1421-4C36-B76D-B32E17A4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A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6FB8-796B-428D-97DD-B890B3C2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Kalazić</dc:creator>
  <cp:keywords/>
  <dc:description/>
  <cp:lastModifiedBy>Melita Milić</cp:lastModifiedBy>
  <cp:revision>5</cp:revision>
  <dcterms:created xsi:type="dcterms:W3CDTF">2019-07-10T09:49:00Z</dcterms:created>
  <dcterms:modified xsi:type="dcterms:W3CDTF">2019-09-05T15:56:00Z</dcterms:modified>
</cp:coreProperties>
</file>