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B463" w14:textId="77777777" w:rsidR="007E0919" w:rsidRDefault="00550483" w:rsidP="00823606">
      <w:pPr>
        <w:spacing w:after="0" w:line="240" w:lineRule="auto"/>
        <w:rPr>
          <w:rFonts w:cstheme="minorHAnsi"/>
          <w:b/>
        </w:rPr>
      </w:pPr>
      <w:r w:rsidRPr="00823606">
        <w:rPr>
          <w:rFonts w:cstheme="minorHAnsi"/>
          <w:b/>
        </w:rPr>
        <w:t xml:space="preserve">PRIJEDLOG PRIPREME ZA IZVOĐENJE NASTAVE </w:t>
      </w:r>
      <w:r w:rsidR="00F77AF0" w:rsidRPr="00823606">
        <w:rPr>
          <w:rFonts w:cstheme="minorHAnsi"/>
          <w:b/>
        </w:rPr>
        <w:t>HRVATSKOGA JEZIKA</w:t>
      </w:r>
    </w:p>
    <w:p w14:paraId="00E1057F" w14:textId="77777777" w:rsidR="00823606" w:rsidRPr="00823606" w:rsidRDefault="00823606" w:rsidP="00823606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597"/>
        <w:gridCol w:w="2204"/>
        <w:gridCol w:w="2551"/>
      </w:tblGrid>
      <w:tr w:rsidR="008E5959" w:rsidRPr="00823606" w14:paraId="2784789D" w14:textId="77777777" w:rsidTr="00144827">
        <w:tc>
          <w:tcPr>
            <w:tcW w:w="1944" w:type="pct"/>
            <w:gridSpan w:val="2"/>
            <w:shd w:val="clear" w:color="auto" w:fill="E0C7EB"/>
          </w:tcPr>
          <w:p w14:paraId="539C9035" w14:textId="77777777" w:rsidR="008E5959" w:rsidRPr="00823606" w:rsidRDefault="00870288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I</w:t>
            </w:r>
            <w:r w:rsidR="008E5959" w:rsidRPr="0082360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0C7EB"/>
          </w:tcPr>
          <w:p w14:paraId="38552E80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0C7EB"/>
          </w:tcPr>
          <w:p w14:paraId="36E5C35C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23606" w14:paraId="3BF21273" w14:textId="77777777" w:rsidTr="00144827">
        <w:tc>
          <w:tcPr>
            <w:tcW w:w="812" w:type="pct"/>
          </w:tcPr>
          <w:p w14:paraId="2013F0DC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80BE8E3" w14:textId="77777777" w:rsidR="008E5959" w:rsidRPr="00823606" w:rsidRDefault="00781593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823606" w14:paraId="001FE565" w14:textId="77777777" w:rsidTr="00144827">
        <w:tc>
          <w:tcPr>
            <w:tcW w:w="812" w:type="pct"/>
          </w:tcPr>
          <w:p w14:paraId="50BA9247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08A9918" w14:textId="77777777" w:rsidR="008E5959" w:rsidRPr="00823606" w:rsidRDefault="00781593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823606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823606" w14:paraId="52ABB5A7" w14:textId="77777777" w:rsidTr="00144827">
        <w:tc>
          <w:tcPr>
            <w:tcW w:w="812" w:type="pct"/>
          </w:tcPr>
          <w:p w14:paraId="728D4A59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16A3623" w14:textId="77777777" w:rsidR="008E5959" w:rsidRPr="00823606" w:rsidRDefault="00C91705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>Kiša na jelovniku</w:t>
            </w:r>
          </w:p>
        </w:tc>
      </w:tr>
      <w:tr w:rsidR="008E5959" w:rsidRPr="00823606" w14:paraId="4935E8B9" w14:textId="77777777" w:rsidTr="00144827">
        <w:trPr>
          <w:trHeight w:val="3362"/>
        </w:trPr>
        <w:tc>
          <w:tcPr>
            <w:tcW w:w="812" w:type="pct"/>
          </w:tcPr>
          <w:p w14:paraId="2064B8D0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ISHODI:</w:t>
            </w:r>
          </w:p>
          <w:p w14:paraId="5312C1AD" w14:textId="77777777" w:rsidR="008E5959" w:rsidRPr="00823606" w:rsidRDefault="008E5959" w:rsidP="0082360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19CF9F2" w14:textId="77777777" w:rsidR="00BB2BF2" w:rsidRDefault="00781593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</w:t>
            </w:r>
          </w:p>
          <w:p w14:paraId="4E2D6233" w14:textId="77777777" w:rsidR="00781593" w:rsidRPr="00823606" w:rsidRDefault="00BB2BF2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2B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E1D1B97" w14:textId="77777777" w:rsidR="00921CB0" w:rsidRPr="00823606" w:rsidRDefault="00BB2BF2" w:rsidP="001448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7DB83A41" w14:textId="77777777" w:rsidR="00921CB0" w:rsidRPr="00823606" w:rsidRDefault="00921CB0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</w:t>
            </w:r>
            <w:r w:rsid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F9FDDFB" w14:textId="77777777" w:rsidR="00921CB0" w:rsidRPr="00823606" w:rsidRDefault="00921CB0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53139E27" w14:textId="77777777" w:rsidR="00E74E3F" w:rsidRPr="00823606" w:rsidRDefault="00923FD8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32A7324F" w14:textId="77777777" w:rsidR="00BB2BF2" w:rsidRDefault="00781593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5341C901" w14:textId="77777777" w:rsidR="00E74E3F" w:rsidRPr="00823606" w:rsidRDefault="00BB2BF2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2B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DC91012" w14:textId="77777777" w:rsidR="00D76D13" w:rsidRPr="00823606" w:rsidRDefault="00D76D13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57A3ACF" w14:textId="77777777" w:rsidR="00A06D94" w:rsidRPr="00823606" w:rsidRDefault="00D76D13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D2F00D8" w14:textId="77777777" w:rsidR="00172DDC" w:rsidRPr="00823606" w:rsidRDefault="00B8594E" w:rsidP="001448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obilježja igrokaza za djecu: lica, dijalog</w:t>
            </w:r>
          </w:p>
          <w:p w14:paraId="0F406305" w14:textId="77777777" w:rsidR="00781593" w:rsidRPr="00823606" w:rsidRDefault="00781593" w:rsidP="001448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342376BB" w14:textId="77777777" w:rsidR="00781593" w:rsidRPr="00823606" w:rsidRDefault="00BB2BF2" w:rsidP="001448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2B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31BA0A9D" w14:textId="062841D2" w:rsidR="007E0919" w:rsidRPr="00144827" w:rsidRDefault="00BB2BF2" w:rsidP="001448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823606" w14:paraId="6F4FE807" w14:textId="77777777" w:rsidTr="00144827">
        <w:tc>
          <w:tcPr>
            <w:tcW w:w="3328" w:type="pct"/>
            <w:gridSpan w:val="4"/>
            <w:shd w:val="clear" w:color="auto" w:fill="E0C7EB"/>
          </w:tcPr>
          <w:p w14:paraId="342DEA2F" w14:textId="77777777" w:rsidR="00823606" w:rsidRPr="00823606" w:rsidRDefault="007E0919" w:rsidP="00823606">
            <w:pPr>
              <w:rPr>
                <w:rFonts w:cstheme="minorHAnsi"/>
                <w:sz w:val="18"/>
                <w:szCs w:val="18"/>
              </w:rPr>
            </w:pPr>
            <w:r w:rsidRPr="0082360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5" w:type="pct"/>
            <w:shd w:val="clear" w:color="auto" w:fill="E0C7EB"/>
          </w:tcPr>
          <w:p w14:paraId="607DD2E8" w14:textId="77777777" w:rsidR="00550483" w:rsidRPr="00823606" w:rsidRDefault="00550483" w:rsidP="00823606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2360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610F335" w14:textId="77777777" w:rsidR="007E0919" w:rsidRPr="00823606" w:rsidRDefault="007E0919" w:rsidP="0082360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0C7EB"/>
          </w:tcPr>
          <w:p w14:paraId="634F2BCB" w14:textId="77777777" w:rsidR="007E0919" w:rsidRPr="00823606" w:rsidRDefault="007E0919" w:rsidP="0082360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2360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2360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2360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2360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2360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2360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2360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2360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2360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23606" w14:paraId="682A43E1" w14:textId="77777777" w:rsidTr="00144827">
        <w:trPr>
          <w:trHeight w:val="2117"/>
        </w:trPr>
        <w:tc>
          <w:tcPr>
            <w:tcW w:w="3328" w:type="pct"/>
            <w:gridSpan w:val="4"/>
          </w:tcPr>
          <w:p w14:paraId="67855A37" w14:textId="77777777" w:rsidR="00823606" w:rsidRPr="00823606" w:rsidRDefault="002C148F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45941" w:rsidRPr="00823606">
              <w:rPr>
                <w:rFonts w:cstheme="minorHAnsi"/>
                <w:b/>
                <w:sz w:val="18"/>
                <w:szCs w:val="18"/>
              </w:rPr>
              <w:t>KIŠA</w:t>
            </w:r>
          </w:p>
          <w:p w14:paraId="01E2CB9F" w14:textId="77777777" w:rsidR="00823606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4AA4BDB" w14:textId="77777777" w:rsidR="002C148F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42CFA23" w14:textId="77777777" w:rsidR="00B8594E" w:rsidRPr="00823606" w:rsidRDefault="00B8594E" w:rsidP="00823606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23606">
              <w:rPr>
                <w:rFonts w:eastAsia="Arial" w:cstheme="minorHAnsi"/>
                <w:sz w:val="18"/>
                <w:szCs w:val="18"/>
              </w:rPr>
              <w:t>Učiteljica/učitelj priprem</w:t>
            </w:r>
            <w:r w:rsidR="00823606">
              <w:rPr>
                <w:rFonts w:eastAsia="Arial" w:cstheme="minorHAnsi"/>
                <w:sz w:val="18"/>
                <w:szCs w:val="18"/>
              </w:rPr>
              <w:t>a</w:t>
            </w:r>
            <w:r w:rsidRPr="00823606">
              <w:rPr>
                <w:rFonts w:eastAsia="Arial" w:cstheme="minorHAnsi"/>
                <w:sz w:val="18"/>
                <w:szCs w:val="18"/>
              </w:rPr>
              <w:t xml:space="preserve"> kartice i s učenicima igra igru asocijacije čija će odgonetka biti KIŠA.</w:t>
            </w:r>
          </w:p>
          <w:p w14:paraId="0C84D893" w14:textId="77777777" w:rsidR="00B8594E" w:rsidRPr="00823606" w:rsidRDefault="00B8594E" w:rsidP="00823606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23606">
              <w:rPr>
                <w:rFonts w:eastAsia="Arial" w:cstheme="minorHAnsi"/>
                <w:sz w:val="18"/>
                <w:szCs w:val="18"/>
              </w:rPr>
              <w:t xml:space="preserve">  PRIMJER: </w:t>
            </w:r>
          </w:p>
          <w:tbl>
            <w:tblPr>
              <w:tblStyle w:val="Reetkatablice"/>
              <w:tblW w:w="0" w:type="auto"/>
              <w:tblInd w:w="880" w:type="dxa"/>
              <w:tblLook w:val="04A0" w:firstRow="1" w:lastRow="0" w:firstColumn="1" w:lastColumn="0" w:noHBand="0" w:noVBand="1"/>
            </w:tblPr>
            <w:tblGrid>
              <w:gridCol w:w="993"/>
              <w:gridCol w:w="992"/>
              <w:gridCol w:w="992"/>
            </w:tblGrid>
            <w:tr w:rsidR="00B8594E" w:rsidRPr="00823606" w14:paraId="052D0613" w14:textId="77777777" w:rsidTr="005E0783">
              <w:tc>
                <w:tcPr>
                  <w:tcW w:w="993" w:type="dxa"/>
                  <w:vAlign w:val="center"/>
                </w:tcPr>
                <w:p w14:paraId="5F753A4B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VODA</w:t>
                  </w:r>
                </w:p>
              </w:tc>
              <w:tc>
                <w:tcPr>
                  <w:tcW w:w="992" w:type="dxa"/>
                  <w:vAlign w:val="center"/>
                </w:tcPr>
                <w:p w14:paraId="2F4A469C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NEBO</w:t>
                  </w:r>
                </w:p>
              </w:tc>
              <w:tc>
                <w:tcPr>
                  <w:tcW w:w="992" w:type="dxa"/>
                  <w:vAlign w:val="center"/>
                </w:tcPr>
                <w:p w14:paraId="4F838FB6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DRŠKA</w:t>
                  </w:r>
                </w:p>
              </w:tc>
            </w:tr>
            <w:tr w:rsidR="00B8594E" w:rsidRPr="00823606" w14:paraId="59D0A840" w14:textId="77777777" w:rsidTr="005E0783">
              <w:tc>
                <w:tcPr>
                  <w:tcW w:w="993" w:type="dxa"/>
                  <w:vAlign w:val="center"/>
                </w:tcPr>
                <w:p w14:paraId="2B4EA8EC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ROSA</w:t>
                  </w:r>
                </w:p>
              </w:tc>
              <w:tc>
                <w:tcPr>
                  <w:tcW w:w="992" w:type="dxa"/>
                  <w:vAlign w:val="center"/>
                </w:tcPr>
                <w:p w14:paraId="03B32B0C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BIJELI</w:t>
                  </w:r>
                </w:p>
              </w:tc>
              <w:tc>
                <w:tcPr>
                  <w:tcW w:w="992" w:type="dxa"/>
                  <w:vAlign w:val="center"/>
                </w:tcPr>
                <w:p w14:paraId="0B871F83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ŠARENI</w:t>
                  </w:r>
                </w:p>
              </w:tc>
            </w:tr>
            <w:tr w:rsidR="00B8594E" w:rsidRPr="00823606" w14:paraId="1B250348" w14:textId="77777777" w:rsidTr="005E0783">
              <w:tc>
                <w:tcPr>
                  <w:tcW w:w="993" w:type="dxa"/>
                  <w:tcBorders>
                    <w:bottom w:val="double" w:sz="4" w:space="0" w:color="auto"/>
                  </w:tcBorders>
                  <w:vAlign w:val="center"/>
                </w:tcPr>
                <w:p w14:paraId="34D379EA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SUZA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vAlign w:val="center"/>
                </w:tcPr>
                <w:p w14:paraId="2FF8D79B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SIVI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vAlign w:val="center"/>
                </w:tcPr>
                <w:p w14:paraId="787427BA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823606">
                    <w:rPr>
                      <w:rFonts w:eastAsia="Arial" w:cstheme="minorHAnsi"/>
                      <w:sz w:val="16"/>
                      <w:szCs w:val="16"/>
                    </w:rPr>
                    <w:t>ŽICE</w:t>
                  </w:r>
                </w:p>
              </w:tc>
            </w:tr>
            <w:tr w:rsidR="00B8594E" w:rsidRPr="00823606" w14:paraId="6925B363" w14:textId="77777777" w:rsidTr="005E0783">
              <w:tc>
                <w:tcPr>
                  <w:tcW w:w="993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5FBAC9B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8"/>
                      <w:szCs w:val="18"/>
                    </w:rPr>
                  </w:pPr>
                  <w:r w:rsidRPr="00823606">
                    <w:rPr>
                      <w:rFonts w:eastAsia="Arial" w:cstheme="minorHAnsi"/>
                      <w:sz w:val="18"/>
                      <w:szCs w:val="18"/>
                    </w:rPr>
                    <w:t>KAPLJICA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319B323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8"/>
                      <w:szCs w:val="18"/>
                    </w:rPr>
                  </w:pPr>
                  <w:r w:rsidRPr="00823606">
                    <w:rPr>
                      <w:rFonts w:eastAsia="Arial" w:cstheme="minorHAnsi"/>
                      <w:sz w:val="18"/>
                      <w:szCs w:val="18"/>
                    </w:rPr>
                    <w:t>OBLAK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BFA373C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sz w:val="18"/>
                      <w:szCs w:val="18"/>
                    </w:rPr>
                  </w:pPr>
                  <w:r w:rsidRPr="00823606">
                    <w:rPr>
                      <w:rFonts w:eastAsia="Arial" w:cstheme="minorHAnsi"/>
                      <w:sz w:val="18"/>
                      <w:szCs w:val="18"/>
                    </w:rPr>
                    <w:t>KIŠOBRAN</w:t>
                  </w:r>
                </w:p>
              </w:tc>
            </w:tr>
            <w:tr w:rsidR="00B8594E" w:rsidRPr="00823606" w14:paraId="06F3C974" w14:textId="77777777" w:rsidTr="005E0783">
              <w:tc>
                <w:tcPr>
                  <w:tcW w:w="2977" w:type="dxa"/>
                  <w:gridSpan w:val="3"/>
                  <w:tcBorders>
                    <w:top w:val="double" w:sz="4" w:space="0" w:color="auto"/>
                  </w:tcBorders>
                  <w:vAlign w:val="center"/>
                </w:tcPr>
                <w:p w14:paraId="665FDED0" w14:textId="77777777" w:rsidR="00B8594E" w:rsidRPr="00823606" w:rsidRDefault="00B8594E" w:rsidP="00823606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/>
                      <w:sz w:val="18"/>
                      <w:szCs w:val="18"/>
                    </w:rPr>
                  </w:pPr>
                  <w:r w:rsidRPr="00823606">
                    <w:rPr>
                      <w:rFonts w:eastAsia="Arial" w:cstheme="minorHAnsi"/>
                      <w:b/>
                      <w:sz w:val="18"/>
                      <w:szCs w:val="18"/>
                    </w:rPr>
                    <w:t>KIŠA</w:t>
                  </w:r>
                </w:p>
              </w:tc>
            </w:tr>
          </w:tbl>
          <w:p w14:paraId="51840C3B" w14:textId="77777777" w:rsidR="00B8594E" w:rsidRPr="00823606" w:rsidRDefault="00B8594E" w:rsidP="00823606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51D609E6" w14:textId="77777777" w:rsidR="002C148F" w:rsidRPr="00823606" w:rsidRDefault="00823606" w:rsidP="0082360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B8594E" w:rsidRPr="00823606">
              <w:rPr>
                <w:rFonts w:cstheme="minorHAnsi"/>
                <w:sz w:val="18"/>
                <w:szCs w:val="18"/>
              </w:rPr>
              <w:t xml:space="preserve">Što je kiša? U koje godišnje doba kiša često pada? Kakvi su oblaci iz kojih pada kiša? Što se može čuti i vidjeti kada pada kiša? </w:t>
            </w:r>
          </w:p>
          <w:p w14:paraId="1B46ADEC" w14:textId="77777777" w:rsidR="00B8594E" w:rsidRPr="00823606" w:rsidRDefault="00B8594E" w:rsidP="00823606">
            <w:pPr>
              <w:rPr>
                <w:rFonts w:cstheme="minorHAnsi"/>
                <w:sz w:val="18"/>
                <w:szCs w:val="18"/>
              </w:rPr>
            </w:pPr>
          </w:p>
          <w:p w14:paraId="018B09C2" w14:textId="77777777" w:rsidR="00823606" w:rsidRPr="00823606" w:rsidRDefault="002C148F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B45941" w:rsidRPr="00823606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4E0214D8" w14:textId="77777777" w:rsidR="002C148F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E6733E" w14:textId="77777777" w:rsidR="00823606" w:rsidRPr="00823606" w:rsidRDefault="00823606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3DFEF7B" w14:textId="77777777" w:rsidR="002C148F" w:rsidRPr="00823606" w:rsidRDefault="002C148F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0F33959" w14:textId="77777777" w:rsidR="00C7657E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B8594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otvaraju udžbenike.</w:t>
            </w:r>
            <w:r w:rsidR="004E1B2F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657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B8594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je munja ručala?</w:t>
            </w:r>
          </w:p>
          <w:p w14:paraId="2DEBC1E2" w14:textId="77777777" w:rsidR="002C148F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igrokaz</w:t>
            </w:r>
            <w:r w:rsidR="007279F5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594E" w:rsidRPr="00823606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Kiša na jelovniku</w:t>
            </w:r>
            <w:r w:rsidR="00B8594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a učenici prate u udžbeniku</w:t>
            </w:r>
            <w:r w:rsidR="00AA4BED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79B792" w14:textId="77777777" w:rsidR="00AA4BED" w:rsidRPr="00823606" w:rsidRDefault="00AA4BED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08425EC" w14:textId="77777777" w:rsidR="00823606" w:rsidRPr="002F417F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3. RAZUMIJEM ŠTO SLUŠAM</w:t>
            </w:r>
          </w:p>
          <w:p w14:paraId="68AF85F4" w14:textId="77777777" w:rsidR="00823606" w:rsidRPr="00823606" w:rsidRDefault="002C148F" w:rsidP="002F417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</w:t>
            </w:r>
            <w:r w:rsidR="004E1B2F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proofErr w:type="spellEnd"/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</w:t>
            </w:r>
            <w:r w:rsidR="00F82A0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8594E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obilježja igrokaza za djecu: lica, dijalog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B2DCD3" w14:textId="77777777" w:rsidR="002C148F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8CE6145" w14:textId="77777777" w:rsidR="002C148F" w:rsidRPr="00823606" w:rsidRDefault="002C148F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svoje osjećaje nakon odslušanog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teksta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Munja je ručala nasred neba u nebeskom restoranu</w:t>
            </w:r>
            <w:r w:rsidR="007279F5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0766D03" w14:textId="77777777" w:rsidR="00C746D3" w:rsidRPr="00823606" w:rsidRDefault="00B60B5C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teksta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Tko su likovi ovog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B3330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igrokaza? Gdje se odvija radnja? Objasni što je sjeverac. Što je prvo predložio munji za ručak? Pročitaj što je munja naručila. </w:t>
            </w:r>
            <w:r w:rsidR="00CF450A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Kakvo je nebo kad munja ruča? Objasni zašto. Objasni razliku između pjesme i igrokaza? Koliko glumaca je potrebno da se izvede ovaj igrokaz?</w:t>
            </w:r>
            <w:r w:rsidR="00C746D3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5A40B081" w14:textId="77777777" w:rsidR="00AB2869" w:rsidRPr="00823606" w:rsidRDefault="00AB2869" w:rsidP="00823606">
            <w:pPr>
              <w:rPr>
                <w:rFonts w:eastAsia="Calibri" w:cstheme="minorHAnsi"/>
                <w:sz w:val="18"/>
                <w:szCs w:val="18"/>
              </w:rPr>
            </w:pPr>
            <w:r w:rsidRPr="00823606">
              <w:rPr>
                <w:rFonts w:eastAsia="Calibri" w:cstheme="minorHAnsi"/>
                <w:sz w:val="18"/>
                <w:szCs w:val="18"/>
              </w:rPr>
              <w:t>Učiteljic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>a</w:t>
            </w:r>
            <w:r w:rsidRPr="00823606">
              <w:rPr>
                <w:rFonts w:eastAsia="Calibri" w:cstheme="minorHAnsi"/>
                <w:sz w:val="18"/>
                <w:szCs w:val="18"/>
              </w:rPr>
              <w:t>/učitelj može zapisati na ploču, a učenici u pisanke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>,</w:t>
            </w:r>
            <w:r w:rsidRPr="00823606">
              <w:rPr>
                <w:rFonts w:eastAsia="Calibri" w:cstheme="minorHAnsi"/>
                <w:sz w:val="18"/>
                <w:szCs w:val="18"/>
              </w:rPr>
              <w:t xml:space="preserve"> naslov </w:t>
            </w:r>
            <w:r w:rsidR="00823606">
              <w:rPr>
                <w:rFonts w:eastAsia="Calibri" w:cstheme="minorHAnsi"/>
                <w:sz w:val="18"/>
                <w:szCs w:val="18"/>
              </w:rPr>
              <w:t>igrokaza</w:t>
            </w:r>
            <w:r w:rsidRPr="00823606">
              <w:rPr>
                <w:rFonts w:eastAsia="Calibri" w:cstheme="minorHAnsi"/>
                <w:sz w:val="18"/>
                <w:szCs w:val="18"/>
              </w:rPr>
              <w:t xml:space="preserve"> i ime 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>autora</w:t>
            </w:r>
            <w:r w:rsidRPr="0082360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>te nabrojati likove</w:t>
            </w:r>
            <w:r w:rsidRPr="00823606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EC02957" w14:textId="77777777" w:rsidR="00034323" w:rsidRPr="00823606" w:rsidRDefault="00034323" w:rsidP="00823606">
            <w:pPr>
              <w:rPr>
                <w:rFonts w:eastAsia="Calibri" w:cstheme="minorHAnsi"/>
                <w:sz w:val="18"/>
                <w:szCs w:val="18"/>
              </w:rPr>
            </w:pPr>
          </w:p>
          <w:p w14:paraId="2CFEEA2A" w14:textId="77777777" w:rsidR="00823606" w:rsidRPr="002F417F" w:rsidRDefault="007279F5" w:rsidP="00823606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82360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82360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7C7E32" w:rsidRPr="0082360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ODGOVARAM NA PITANJA</w:t>
            </w:r>
          </w:p>
          <w:p w14:paraId="4A6A14F7" w14:textId="77777777" w:rsidR="00823606" w:rsidRPr="00823606" w:rsidRDefault="00870288" w:rsidP="008236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360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F450A" w:rsidRP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8236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2B31B0D" w14:textId="77777777" w:rsidR="00870288" w:rsidRPr="00823606" w:rsidRDefault="00870288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C219AF7" w14:textId="77777777" w:rsidR="007C7E32" w:rsidRPr="00823606" w:rsidRDefault="00823606" w:rsidP="00823606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 xml:space="preserve">čenici rješavaju zadatke u udžbeniku. Učiteljica/učitelj može pročitati i objasniti svaki pojedini zadatak, a učenici zatim samostalno rješavaju. </w:t>
            </w:r>
            <w:r w:rsidR="00CF450A" w:rsidRPr="00823606">
              <w:rPr>
                <w:rFonts w:eastAsia="Calibri" w:cstheme="minorHAnsi"/>
                <w:sz w:val="18"/>
                <w:szCs w:val="18"/>
              </w:rPr>
              <w:t>P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>rovjerava</w:t>
            </w:r>
            <w:r>
              <w:rPr>
                <w:rFonts w:eastAsia="Calibri" w:cstheme="minorHAnsi"/>
                <w:sz w:val="18"/>
                <w:szCs w:val="18"/>
              </w:rPr>
              <w:t xml:space="preserve"> se</w:t>
            </w:r>
            <w:r w:rsidR="007C7E32" w:rsidRPr="00823606">
              <w:rPr>
                <w:rFonts w:eastAsia="Calibri" w:cstheme="minorHAnsi"/>
                <w:sz w:val="18"/>
                <w:szCs w:val="18"/>
              </w:rPr>
              <w:t xml:space="preserve"> točnost uratka.</w:t>
            </w:r>
          </w:p>
          <w:p w14:paraId="0042B606" w14:textId="77777777" w:rsidR="00CF450A" w:rsidRPr="00823606" w:rsidRDefault="00CF450A" w:rsidP="00823606">
            <w:pPr>
              <w:rPr>
                <w:rFonts w:eastAsia="Calibri" w:cstheme="minorHAnsi"/>
                <w:sz w:val="18"/>
                <w:szCs w:val="18"/>
              </w:rPr>
            </w:pPr>
            <w:r w:rsidRPr="00823606">
              <w:rPr>
                <w:rFonts w:eastAsia="Calibri" w:cstheme="minorHAnsi"/>
                <w:sz w:val="18"/>
                <w:szCs w:val="18"/>
              </w:rPr>
              <w:t xml:space="preserve">Učenici trebaju zamisliti da su prirodna pojava oni i svaki član njihove obitelji. Zatim sve članove trebaju nacrtati. </w:t>
            </w:r>
          </w:p>
          <w:p w14:paraId="1A4DB1D0" w14:textId="77777777" w:rsidR="00CF450A" w:rsidRPr="00823606" w:rsidRDefault="00CF450A" w:rsidP="00823606">
            <w:pPr>
              <w:rPr>
                <w:rFonts w:eastAsia="Calibri" w:cstheme="minorHAnsi"/>
                <w:sz w:val="18"/>
                <w:szCs w:val="18"/>
              </w:rPr>
            </w:pPr>
            <w:r w:rsidRPr="00823606">
              <w:rPr>
                <w:rFonts w:eastAsia="Calibri" w:cstheme="minorHAnsi"/>
                <w:sz w:val="18"/>
                <w:szCs w:val="18"/>
              </w:rPr>
              <w:t>Objasni zašto si baš ta pojava?</w:t>
            </w:r>
          </w:p>
          <w:p w14:paraId="31AB43CB" w14:textId="77777777" w:rsidR="00BF63C6" w:rsidRPr="00823606" w:rsidRDefault="00BF63C6" w:rsidP="00823606">
            <w:pPr>
              <w:rPr>
                <w:rFonts w:cstheme="minorHAnsi"/>
                <w:sz w:val="18"/>
                <w:szCs w:val="18"/>
              </w:rPr>
            </w:pPr>
          </w:p>
          <w:p w14:paraId="125492AE" w14:textId="77777777" w:rsidR="007C7E32" w:rsidRPr="00823606" w:rsidRDefault="007C7E32" w:rsidP="00823606">
            <w:pPr>
              <w:rPr>
                <w:rFonts w:cstheme="minorHAnsi"/>
                <w:sz w:val="18"/>
                <w:szCs w:val="18"/>
              </w:rPr>
            </w:pPr>
          </w:p>
          <w:p w14:paraId="518BD149" w14:textId="77777777" w:rsidR="00565282" w:rsidRDefault="00565282" w:rsidP="00823606">
            <w:pPr>
              <w:rPr>
                <w:rFonts w:cstheme="minorHAnsi"/>
                <w:b/>
                <w:sz w:val="18"/>
                <w:szCs w:val="18"/>
              </w:rPr>
            </w:pPr>
            <w:r w:rsidRPr="00823606">
              <w:rPr>
                <w:rFonts w:cstheme="minorHAnsi"/>
                <w:b/>
                <w:sz w:val="18"/>
                <w:szCs w:val="18"/>
              </w:rPr>
              <w:t>NA PLOČI</w:t>
            </w:r>
            <w:r w:rsidR="005C4F2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BE8C092" w14:textId="77777777" w:rsidR="00CF450A" w:rsidRPr="00823606" w:rsidRDefault="00CF450A" w:rsidP="0082360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2360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KIŠA NA JELOVNIKU</w:t>
            </w:r>
          </w:p>
          <w:p w14:paraId="2B30A630" w14:textId="77777777" w:rsidR="00823606" w:rsidRPr="00823606" w:rsidRDefault="00CF450A" w:rsidP="0082360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2360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ANTONIJA UGARKOVIĆ</w:t>
            </w:r>
          </w:p>
          <w:p w14:paraId="046450BD" w14:textId="77777777" w:rsidR="00CF450A" w:rsidRPr="00823606" w:rsidRDefault="00CF450A" w:rsidP="0082360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2360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IGROKAZ</w:t>
            </w:r>
          </w:p>
          <w:p w14:paraId="177A1936" w14:textId="77777777" w:rsidR="00CF450A" w:rsidRPr="00823606" w:rsidRDefault="00CF450A" w:rsidP="0082360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2360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LIKOVI: PRIPOVIJEDAČ, MUNJA I SJEVERAC</w:t>
            </w:r>
          </w:p>
          <w:p w14:paraId="16ECDA9A" w14:textId="46DFE054" w:rsidR="007C7E32" w:rsidRPr="00823606" w:rsidRDefault="007C7E32" w:rsidP="008236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5" w:type="pct"/>
          </w:tcPr>
          <w:p w14:paraId="178AF467" w14:textId="611FAA7E" w:rsidR="007E0919" w:rsidRPr="00823606" w:rsidRDefault="00144827" w:rsidP="0082360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D4440C" w:rsidRPr="00D4440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Kiša na jelovniku</w:t>
              </w:r>
            </w:hyperlink>
          </w:p>
        </w:tc>
        <w:tc>
          <w:tcPr>
            <w:tcW w:w="897" w:type="pct"/>
          </w:tcPr>
          <w:p w14:paraId="433D67FF" w14:textId="7E9FF4D8" w:rsidR="002F1409" w:rsidRPr="00144827" w:rsidRDefault="002F1409" w:rsidP="002F1409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t>PID</w:t>
            </w:r>
            <w:r w:rsidR="0013674C" w:rsidRPr="00144827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144827">
              <w:rPr>
                <w:rFonts w:cstheme="minorHAnsi"/>
                <w:bCs/>
                <w:sz w:val="18"/>
                <w:szCs w:val="18"/>
              </w:rPr>
              <w:t xml:space="preserve">  A.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2.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 Učenik uspoređuje organiziranost u prirodi i objašnjava važnost organiziranosti. B.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2.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2.Učenik zaključuje o promjenama u prirodi koje se događaju tijekom godišnjih doba.</w:t>
            </w:r>
          </w:p>
          <w:p w14:paraId="25CB7D20" w14:textId="77777777" w:rsidR="002F1409" w:rsidRPr="00144827" w:rsidRDefault="0013674C" w:rsidP="002F1409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t xml:space="preserve">OŠ </w:t>
            </w:r>
            <w:r w:rsidR="002F1409" w:rsidRPr="00144827">
              <w:rPr>
                <w:rFonts w:cstheme="minorHAnsi"/>
                <w:bCs/>
                <w:sz w:val="18"/>
                <w:szCs w:val="18"/>
              </w:rPr>
              <w:t>LK A.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F1409" w:rsidRPr="00144827">
              <w:rPr>
                <w:rFonts w:cstheme="minorHAnsi"/>
                <w:bCs/>
                <w:sz w:val="18"/>
                <w:szCs w:val="18"/>
              </w:rPr>
              <w:t>2.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F1409" w:rsidRPr="00144827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0A8C0627" w14:textId="4E354DEB" w:rsidR="00654D0A" w:rsidRPr="00144827" w:rsidRDefault="00CF450A" w:rsidP="00654D0A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t>UKU</w:t>
            </w:r>
            <w:r w:rsidR="00654D0A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C. 1. 2.</w:t>
            </w:r>
            <w:r w:rsidR="00654D0A" w:rsidRPr="00144827">
              <w:rPr>
                <w:rFonts w:ascii="Times New Roman" w:eastAsia="Times New Roman" w:hAnsi="Times New Roman" w:cs="Times New Roman"/>
                <w:bCs/>
                <w:color w:val="231F20"/>
                <w:lang w:eastAsia="hr-HR"/>
              </w:rPr>
              <w:t xml:space="preserve"> </w:t>
            </w:r>
            <w:r w:rsidR="00654D0A" w:rsidRPr="00144827">
              <w:rPr>
                <w:rFonts w:cstheme="minorHAnsi"/>
                <w:bCs/>
                <w:sz w:val="18"/>
                <w:szCs w:val="18"/>
              </w:rPr>
              <w:t>Slika o sebi kao učeniku</w:t>
            </w:r>
            <w:r w:rsidR="00C50FC5" w:rsidRPr="00144827">
              <w:rPr>
                <w:rFonts w:cstheme="minorHAnsi"/>
                <w:bCs/>
                <w:sz w:val="18"/>
                <w:szCs w:val="18"/>
              </w:rPr>
              <w:t>:</w:t>
            </w:r>
            <w:r w:rsidR="00654D0A" w:rsidRPr="00144827">
              <w:rPr>
                <w:rFonts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51BAD971" w14:textId="225B9AC6" w:rsidR="00654D0A" w:rsidRPr="00144827" w:rsidRDefault="00654D0A" w:rsidP="00654D0A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t>OSR A.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2.Upravlja emocijama i ponašanjem. B.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69209CE4" w14:textId="66C6AA55" w:rsidR="00654D0A" w:rsidRPr="00144827" w:rsidRDefault="00654D0A" w:rsidP="00654D0A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t>O</w:t>
            </w:r>
            <w:r w:rsidR="00144827" w:rsidRPr="00144827">
              <w:rPr>
                <w:rFonts w:cstheme="minorHAnsi"/>
                <w:bCs/>
                <w:sz w:val="18"/>
                <w:szCs w:val="18"/>
              </w:rPr>
              <w:t>D</w:t>
            </w:r>
            <w:r w:rsidRPr="00144827">
              <w:rPr>
                <w:rFonts w:cstheme="minorHAnsi"/>
                <w:bCs/>
                <w:sz w:val="18"/>
                <w:szCs w:val="18"/>
              </w:rPr>
              <w:t>R A.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3. Uočava povezanost između prirode i zdravoga života. C.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232FBA8F" w14:textId="77777777" w:rsidR="00654D0A" w:rsidRPr="00144827" w:rsidRDefault="00654D0A" w:rsidP="00654D0A">
            <w:pPr>
              <w:rPr>
                <w:rFonts w:cstheme="minorHAnsi"/>
                <w:bCs/>
                <w:sz w:val="18"/>
                <w:szCs w:val="18"/>
              </w:rPr>
            </w:pPr>
            <w:r w:rsidRPr="00144827">
              <w:rPr>
                <w:rFonts w:cstheme="minorHAnsi"/>
                <w:bCs/>
                <w:sz w:val="18"/>
                <w:szCs w:val="18"/>
              </w:rPr>
              <w:lastRenderedPageBreak/>
              <w:t>GOO C.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</w:t>
            </w:r>
            <w:r w:rsidR="00BB2BF2" w:rsidRPr="0014482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44827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7914D0B8" w14:textId="77777777" w:rsidR="003161DB" w:rsidRPr="00144827" w:rsidRDefault="003161DB" w:rsidP="00823606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E981BB4" w14:textId="77777777" w:rsidR="009D4B69" w:rsidRPr="00823606" w:rsidRDefault="009D4B69" w:rsidP="00823606">
            <w:pPr>
              <w:rPr>
                <w:rFonts w:cstheme="minorHAnsi"/>
                <w:sz w:val="18"/>
                <w:szCs w:val="18"/>
              </w:rPr>
            </w:pPr>
          </w:p>
          <w:p w14:paraId="1C6BA1C8" w14:textId="77777777" w:rsidR="00BB498E" w:rsidRPr="00823606" w:rsidRDefault="00BB498E" w:rsidP="0082360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87B00DB" w14:textId="77777777" w:rsidR="008E5959" w:rsidRPr="00823606" w:rsidRDefault="008E5959" w:rsidP="0082360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23606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003A4"/>
    <w:multiLevelType w:val="hybridMultilevel"/>
    <w:tmpl w:val="BEB84878"/>
    <w:lvl w:ilvl="0" w:tplc="6D14FB14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31E255C3"/>
    <w:multiLevelType w:val="hybridMultilevel"/>
    <w:tmpl w:val="6B9E2060"/>
    <w:lvl w:ilvl="0" w:tplc="EA625B7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3BE92A93"/>
    <w:multiLevelType w:val="hybridMultilevel"/>
    <w:tmpl w:val="AF607A04"/>
    <w:lvl w:ilvl="0" w:tplc="5072869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1058"/>
    <w:rsid w:val="00034323"/>
    <w:rsid w:val="000D4266"/>
    <w:rsid w:val="000E0DA2"/>
    <w:rsid w:val="001149E4"/>
    <w:rsid w:val="0013674C"/>
    <w:rsid w:val="00144827"/>
    <w:rsid w:val="001644D4"/>
    <w:rsid w:val="00164B8F"/>
    <w:rsid w:val="00166339"/>
    <w:rsid w:val="00172DDC"/>
    <w:rsid w:val="0017592B"/>
    <w:rsid w:val="00196C43"/>
    <w:rsid w:val="001C4509"/>
    <w:rsid w:val="001E0CDC"/>
    <w:rsid w:val="00210A60"/>
    <w:rsid w:val="00215CE5"/>
    <w:rsid w:val="002C148F"/>
    <w:rsid w:val="002F1409"/>
    <w:rsid w:val="002F417F"/>
    <w:rsid w:val="00315FA3"/>
    <w:rsid w:val="003161DB"/>
    <w:rsid w:val="00364A9D"/>
    <w:rsid w:val="0038147B"/>
    <w:rsid w:val="003C0534"/>
    <w:rsid w:val="003F631B"/>
    <w:rsid w:val="00407A78"/>
    <w:rsid w:val="0044417B"/>
    <w:rsid w:val="004E14D1"/>
    <w:rsid w:val="004E1B2F"/>
    <w:rsid w:val="005032A8"/>
    <w:rsid w:val="00512C63"/>
    <w:rsid w:val="00550483"/>
    <w:rsid w:val="00565282"/>
    <w:rsid w:val="005764F3"/>
    <w:rsid w:val="005C4F2B"/>
    <w:rsid w:val="00622F29"/>
    <w:rsid w:val="00654D0A"/>
    <w:rsid w:val="00655CB6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B3C7F"/>
    <w:rsid w:val="007C7E32"/>
    <w:rsid w:val="007E0919"/>
    <w:rsid w:val="00823606"/>
    <w:rsid w:val="008651A6"/>
    <w:rsid w:val="00870288"/>
    <w:rsid w:val="008E5959"/>
    <w:rsid w:val="00921CB0"/>
    <w:rsid w:val="00923FD8"/>
    <w:rsid w:val="00930D27"/>
    <w:rsid w:val="00997CF9"/>
    <w:rsid w:val="009D4B69"/>
    <w:rsid w:val="009E3300"/>
    <w:rsid w:val="00A01D9D"/>
    <w:rsid w:val="00A06D94"/>
    <w:rsid w:val="00A153AD"/>
    <w:rsid w:val="00A3556C"/>
    <w:rsid w:val="00A6626E"/>
    <w:rsid w:val="00A765B8"/>
    <w:rsid w:val="00A92DE6"/>
    <w:rsid w:val="00AA4BED"/>
    <w:rsid w:val="00AB2869"/>
    <w:rsid w:val="00B27B12"/>
    <w:rsid w:val="00B33304"/>
    <w:rsid w:val="00B45941"/>
    <w:rsid w:val="00B60B5C"/>
    <w:rsid w:val="00B8594E"/>
    <w:rsid w:val="00BB2BF2"/>
    <w:rsid w:val="00BB498E"/>
    <w:rsid w:val="00BF63C6"/>
    <w:rsid w:val="00C37C3C"/>
    <w:rsid w:val="00C50FC5"/>
    <w:rsid w:val="00C6158F"/>
    <w:rsid w:val="00C746D3"/>
    <w:rsid w:val="00C7657E"/>
    <w:rsid w:val="00C91705"/>
    <w:rsid w:val="00CB5071"/>
    <w:rsid w:val="00CF450A"/>
    <w:rsid w:val="00D01B48"/>
    <w:rsid w:val="00D11E2A"/>
    <w:rsid w:val="00D12BEF"/>
    <w:rsid w:val="00D2243C"/>
    <w:rsid w:val="00D4440C"/>
    <w:rsid w:val="00D57604"/>
    <w:rsid w:val="00D76D13"/>
    <w:rsid w:val="00D80477"/>
    <w:rsid w:val="00E2217B"/>
    <w:rsid w:val="00E74E3F"/>
    <w:rsid w:val="00E85880"/>
    <w:rsid w:val="00EC3451"/>
    <w:rsid w:val="00EC5893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71A6"/>
  <w15:docId w15:val="{0D6DFDD4-896E-40C2-8DC7-5D513ECA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4440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44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BE4E4-E228-4AE7-9B4A-EB839536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2020-05-19T19:31:00Z</dcterms:created>
  <dcterms:modified xsi:type="dcterms:W3CDTF">2021-05-28T18:15:00Z</dcterms:modified>
</cp:coreProperties>
</file>