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16"/>
        <w:gridCol w:w="2816"/>
        <w:gridCol w:w="456"/>
        <w:gridCol w:w="1271"/>
        <w:gridCol w:w="2403"/>
      </w:tblGrid>
      <w:tr w:rsidR="00AB7CBA" w:rsidRPr="00B65CA1" w14:paraId="12B5BF5B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04B0378D" w14:textId="77777777" w:rsidR="00AB7CBA" w:rsidRPr="00B65CA1" w:rsidRDefault="00AB7CBA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774FCE6C" w14:textId="77777777" w:rsidR="00AB7CBA" w:rsidRPr="00B65CA1" w:rsidRDefault="00AB7CBA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4BAEF9E6" w14:textId="77777777" w:rsidR="00AB7CBA" w:rsidRPr="00B65CA1" w:rsidRDefault="00AB7CBA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26</w:t>
            </w:r>
          </w:p>
        </w:tc>
      </w:tr>
      <w:tr w:rsidR="00AB7CBA" w:rsidRPr="00B65CA1" w14:paraId="41F29083" w14:textId="77777777" w:rsidTr="007435A8">
        <w:tc>
          <w:tcPr>
            <w:tcW w:w="2116" w:type="dxa"/>
          </w:tcPr>
          <w:p w14:paraId="617AAE85" w14:textId="77777777" w:rsidR="00AB7CBA" w:rsidRPr="00B65CA1" w:rsidRDefault="00AB7CBA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3A860174" w14:textId="77777777" w:rsidR="00AB7CBA" w:rsidRPr="00B65CA1" w:rsidRDefault="00AB7CBA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AB7CBA" w:rsidRPr="00B65CA1" w14:paraId="53C260F2" w14:textId="77777777" w:rsidTr="007435A8">
        <w:tc>
          <w:tcPr>
            <w:tcW w:w="2116" w:type="dxa"/>
          </w:tcPr>
          <w:p w14:paraId="119ED579" w14:textId="77777777" w:rsidR="00AB7CBA" w:rsidRPr="00B65CA1" w:rsidRDefault="00AB7CBA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15703B4E" w14:textId="77777777" w:rsidR="00AB7CBA" w:rsidRPr="00B65CA1" w:rsidRDefault="00AB7CBA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0D9FE998" w14:textId="77777777" w:rsidR="00AB7CBA" w:rsidRPr="00B65CA1" w:rsidRDefault="00AB7CBA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4AD11FEB" w14:textId="77777777" w:rsidR="00AB7CBA" w:rsidRPr="00B65CA1" w:rsidRDefault="00AB7CBA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AB7CBA" w:rsidRPr="00B65CA1" w14:paraId="6BF2531F" w14:textId="77777777" w:rsidTr="007435A8">
        <w:tc>
          <w:tcPr>
            <w:tcW w:w="2116" w:type="dxa"/>
          </w:tcPr>
          <w:p w14:paraId="630E174D" w14:textId="77777777" w:rsidR="00AB7CBA" w:rsidRPr="00B65CA1" w:rsidRDefault="00AB7CBA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2EA0DAB0" w14:textId="77777777" w:rsidR="00AB7CBA" w:rsidRPr="00B65CA1" w:rsidRDefault="00AB7CBA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Zavičaj nas jutrom budi</w:t>
            </w:r>
          </w:p>
        </w:tc>
      </w:tr>
      <w:tr w:rsidR="00AB7CBA" w:rsidRPr="00B65CA1" w14:paraId="388CFEA8" w14:textId="77777777" w:rsidTr="007435A8">
        <w:tc>
          <w:tcPr>
            <w:tcW w:w="2116" w:type="dxa"/>
          </w:tcPr>
          <w:p w14:paraId="4A6BCD83" w14:textId="77777777" w:rsidR="00AB7CBA" w:rsidRPr="00B65CA1" w:rsidRDefault="00AB7CBA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24B8012B" w14:textId="77777777" w:rsidR="00AB7CBA" w:rsidRPr="00B65CA1" w:rsidRDefault="00AB7CBA" w:rsidP="007435A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PJEVANJE I POKRET: </w:t>
            </w:r>
            <w:r w:rsidRPr="00B65CA1">
              <w:rPr>
                <w:rFonts w:cstheme="minorHAnsi"/>
                <w:i/>
              </w:rPr>
              <w:t xml:space="preserve">Grad se </w:t>
            </w:r>
            <w:proofErr w:type="spellStart"/>
            <w:r w:rsidRPr="00B65CA1">
              <w:rPr>
                <w:rFonts w:cstheme="minorHAnsi"/>
                <w:i/>
              </w:rPr>
              <w:t>beli</w:t>
            </w:r>
            <w:proofErr w:type="spellEnd"/>
            <w:r w:rsidRPr="00B65CA1">
              <w:rPr>
                <w:rFonts w:cstheme="minorHAnsi"/>
                <w:i/>
              </w:rPr>
              <w:t xml:space="preserve">, </w:t>
            </w:r>
            <w:r w:rsidRPr="00B65CA1">
              <w:rPr>
                <w:rFonts w:cstheme="minorHAnsi"/>
              </w:rPr>
              <w:t>hrvatska tradicijska</w:t>
            </w:r>
          </w:p>
          <w:p w14:paraId="42119BA6" w14:textId="77777777" w:rsidR="00AB7CBA" w:rsidRPr="00B65CA1" w:rsidRDefault="00AB7CBA" w:rsidP="007435A8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B65CA1">
              <w:rPr>
                <w:rFonts w:cstheme="minorHAnsi"/>
                <w:color w:val="231F20"/>
              </w:rPr>
              <w:t>SLUŠANJE:</w:t>
            </w:r>
            <w:r w:rsidRPr="00B65CA1">
              <w:rPr>
                <w:rFonts w:cstheme="minorHAnsi"/>
                <w:b/>
                <w:color w:val="231F20"/>
              </w:rPr>
              <w:t xml:space="preserve"> </w:t>
            </w:r>
            <w:r w:rsidRPr="00B65CA1">
              <w:rPr>
                <w:rFonts w:cstheme="minorHAnsi"/>
                <w:i/>
              </w:rPr>
              <w:t xml:space="preserve">Grad se </w:t>
            </w:r>
            <w:proofErr w:type="spellStart"/>
            <w:r w:rsidRPr="00B65CA1">
              <w:rPr>
                <w:rFonts w:cstheme="minorHAnsi"/>
                <w:i/>
              </w:rPr>
              <w:t>beli</w:t>
            </w:r>
            <w:proofErr w:type="spellEnd"/>
            <w:r w:rsidRPr="00B65CA1">
              <w:rPr>
                <w:rFonts w:cstheme="minorHAnsi"/>
                <w:i/>
              </w:rPr>
              <w:t xml:space="preserve">, </w:t>
            </w:r>
            <w:r w:rsidRPr="00B65CA1">
              <w:rPr>
                <w:rFonts w:cstheme="minorHAnsi"/>
              </w:rPr>
              <w:t>hrvatska tradicijska u dvije različite izvedbe</w:t>
            </w:r>
          </w:p>
        </w:tc>
      </w:tr>
      <w:tr w:rsidR="00AB7CBA" w:rsidRPr="00B65CA1" w14:paraId="03A51AF5" w14:textId="77777777" w:rsidTr="007435A8">
        <w:tc>
          <w:tcPr>
            <w:tcW w:w="2116" w:type="dxa"/>
          </w:tcPr>
          <w:p w14:paraId="14123439" w14:textId="77777777" w:rsidR="00AB7CBA" w:rsidRPr="00B65CA1" w:rsidRDefault="00AB7CBA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196A233C" w14:textId="77777777" w:rsidR="00AB7CBA" w:rsidRPr="00B65CA1" w:rsidRDefault="00AB7CBA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17D674F0" w14:textId="77777777" w:rsidR="00AB7CBA" w:rsidRPr="00B65CA1" w:rsidRDefault="00AB7CBA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1950E140" w14:textId="77777777" w:rsidR="00AB7CBA" w:rsidRPr="00445E8B" w:rsidRDefault="00AB7CBA" w:rsidP="00AB7CB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445E8B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445E8B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445E8B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4EDE015B" w14:textId="77777777" w:rsidR="00AB7CBA" w:rsidRPr="00B65CA1" w:rsidRDefault="00AB7CBA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35E6E73C" w14:textId="77777777" w:rsidR="00AB7CBA" w:rsidRPr="00445E8B" w:rsidRDefault="00AB7CBA" w:rsidP="00AB7CB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445E8B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7641C734" w14:textId="77777777" w:rsidR="00AB7CBA" w:rsidRPr="00B65CA1" w:rsidRDefault="00AB7CBA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548410FF" w14:textId="77777777" w:rsidR="00AB7CBA" w:rsidRPr="00445E8B" w:rsidRDefault="00AB7CBA" w:rsidP="00AB7CB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445E8B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698CF142" w14:textId="77777777" w:rsidR="00AB7CBA" w:rsidRPr="00B65CA1" w:rsidRDefault="00AB7CBA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5F105D06" w14:textId="77777777" w:rsidR="00AB7CBA" w:rsidRPr="00445E8B" w:rsidRDefault="00AB7CBA" w:rsidP="00AB7CB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445E8B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11CD862D" w14:textId="77777777" w:rsidR="00AB7CBA" w:rsidRPr="00B65CA1" w:rsidRDefault="00AB7CBA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14A11B68" w14:textId="77777777" w:rsidR="00AB7CBA" w:rsidRPr="00445E8B" w:rsidRDefault="00AB7CBA" w:rsidP="00AB7CB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445E8B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AB7CBA" w:rsidRPr="00B65CA1" w14:paraId="707B8C43" w14:textId="77777777" w:rsidTr="007435A8">
        <w:tc>
          <w:tcPr>
            <w:tcW w:w="4957" w:type="dxa"/>
            <w:gridSpan w:val="2"/>
          </w:tcPr>
          <w:p w14:paraId="7007E8FD" w14:textId="77777777" w:rsidR="00AB7CBA" w:rsidRPr="00B65CA1" w:rsidRDefault="00AB7CBA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7A8236C1" w14:textId="77777777" w:rsidR="00AB7CBA" w:rsidRPr="00B65CA1" w:rsidRDefault="00AB7CBA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AB7CBA" w:rsidRPr="00B65CA1" w14:paraId="2FEE875A" w14:textId="77777777" w:rsidTr="007435A8">
        <w:tc>
          <w:tcPr>
            <w:tcW w:w="4957" w:type="dxa"/>
            <w:gridSpan w:val="2"/>
          </w:tcPr>
          <w:p w14:paraId="4EC0D3CF" w14:textId="77777777" w:rsidR="00AB7CBA" w:rsidRPr="00B65CA1" w:rsidRDefault="00AB7CBA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568A9493" w14:textId="77777777" w:rsidR="00AB7CBA" w:rsidRPr="00B65CA1" w:rsidRDefault="00AB7CBA" w:rsidP="007435A8">
            <w:pPr>
              <w:outlineLvl w:val="0"/>
              <w:rPr>
                <w:rFonts w:cstheme="minorHAnsi"/>
                <w:i/>
              </w:rPr>
            </w:pPr>
            <w:r w:rsidRPr="00B65CA1">
              <w:t xml:space="preserve">Učiteljica/učitelj </w:t>
            </w:r>
            <w:r>
              <w:t>najavljuje učenje</w:t>
            </w:r>
            <w:r w:rsidRPr="00B65CA1">
              <w:t xml:space="preserve"> tradicijsk</w:t>
            </w:r>
            <w:r>
              <w:t>e</w:t>
            </w:r>
            <w:r w:rsidRPr="00B65CA1">
              <w:t xml:space="preserve"> pjesm</w:t>
            </w:r>
            <w:r>
              <w:t>e</w:t>
            </w:r>
            <w:r w:rsidRPr="00B65CA1">
              <w:t xml:space="preserve"> iz Međimurja. </w:t>
            </w:r>
          </w:p>
        </w:tc>
        <w:tc>
          <w:tcPr>
            <w:tcW w:w="4536" w:type="dxa"/>
            <w:gridSpan w:val="3"/>
            <w:vMerge w:val="restart"/>
          </w:tcPr>
          <w:p w14:paraId="1D72A638" w14:textId="77777777" w:rsidR="00AB7CBA" w:rsidRPr="00B65CA1" w:rsidRDefault="00AB7CBA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525F6B83" w14:textId="77777777" w:rsidR="00AB7CBA" w:rsidRDefault="00AB7CBA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>
              <w:rPr>
                <w:rFonts w:cstheme="minorHAnsi"/>
              </w:rPr>
              <w:t>.</w:t>
            </w:r>
          </w:p>
          <w:p w14:paraId="31AC7122" w14:textId="77777777" w:rsidR="00AB7CBA" w:rsidRDefault="00AB7CBA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a poticaj i uz pomoć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3F7CF873" w14:textId="77777777" w:rsidR="00AB7CBA" w:rsidRDefault="00AB7CBA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3854181D" w14:textId="77777777" w:rsidR="00AB7CBA" w:rsidRPr="00B65CA1" w:rsidRDefault="00AB7CBA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0D2DDD31" w14:textId="77777777" w:rsidR="00AB7CBA" w:rsidRPr="00B65CA1" w:rsidRDefault="00AB7CBA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338B4D4F" w14:textId="77777777" w:rsidR="00AB7CBA" w:rsidRPr="00B65CA1" w:rsidRDefault="00AB7CBA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0221A57F" w14:textId="77777777" w:rsidR="00AB7CBA" w:rsidRPr="00B65CA1" w:rsidRDefault="00AB7CBA" w:rsidP="007435A8">
            <w:pPr>
              <w:rPr>
                <w:rFonts w:cstheme="minorHAnsi"/>
                <w:b/>
              </w:rPr>
            </w:pPr>
            <w:r w:rsidRPr="00B65CA1">
              <w:rPr>
                <w:rFonts w:cstheme="minorHAnsi"/>
                <w:b/>
              </w:rPr>
              <w:t>OR</w:t>
            </w:r>
            <w:r>
              <w:rPr>
                <w:rFonts w:cstheme="minorHAnsi"/>
                <w:b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</w:p>
          <w:p w14:paraId="5FD6ABC9" w14:textId="77777777" w:rsidR="00AB7CBA" w:rsidRPr="00B65CA1" w:rsidRDefault="00AB7CBA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>IKT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49893622" w14:textId="77777777" w:rsidR="00AB7CBA" w:rsidRPr="00B65CA1" w:rsidRDefault="00AB7CBA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</w:tc>
      </w:tr>
      <w:tr w:rsidR="00AB7CBA" w:rsidRPr="00B65CA1" w14:paraId="76D7FAA1" w14:textId="77777777" w:rsidTr="007435A8">
        <w:tc>
          <w:tcPr>
            <w:tcW w:w="4957" w:type="dxa"/>
            <w:gridSpan w:val="2"/>
          </w:tcPr>
          <w:p w14:paraId="6CCB48BB" w14:textId="77777777" w:rsidR="00AB7CBA" w:rsidRPr="00B65CA1" w:rsidRDefault="00AB7CBA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4DB2213F" w14:textId="77777777" w:rsidR="00AB7CBA" w:rsidRPr="00B65CA1" w:rsidRDefault="00AB7CBA" w:rsidP="007435A8">
            <w:pPr>
              <w:outlineLvl w:val="0"/>
            </w:pPr>
            <w:r w:rsidRPr="00B65CA1">
              <w:t>Učiteljica/učitelj radi na tekstualnoj obradi pjesme i objašnjava značenja nepoznatih riječi. Učiteljica/učitelj pjevanjem demonstrira frazu po frazu, a učenici je zatim ponavljaju. Fraze koje uče logične su i zaokružene cjeline. Nakon što su učenici usvojili prvu strofu teksta, usvajaju i ostale strofe. Učiteljica/učitelj pjeva cijelu strofu, a zatim je učenici ponavljaju. Naučenu pjesmu učenici pjevaju u skupinama samostalno ili u paru.</w:t>
            </w:r>
          </w:p>
          <w:p w14:paraId="45B25CB5" w14:textId="77777777" w:rsidR="00AB7CBA" w:rsidRPr="00B65CA1" w:rsidRDefault="00AB7CBA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669B5807" w14:textId="77777777" w:rsidR="00AB7CBA" w:rsidRPr="00B65CA1" w:rsidRDefault="00AB7CBA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Pokret</w:t>
            </w:r>
          </w:p>
          <w:p w14:paraId="708D014C" w14:textId="77777777" w:rsidR="00AB7CBA" w:rsidRPr="00B65CA1" w:rsidRDefault="00AB7CBA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B65CA1">
              <w:t xml:space="preserve">Učenici se drže za ruke u zamišljenom krugu. Dok pjevaju pjesmu, vrte se u smjeru kazaljke na satu. Kod riječi </w:t>
            </w:r>
            <w:r w:rsidRPr="00A32E16">
              <w:rPr>
                <w:i/>
                <w:iCs/>
              </w:rPr>
              <w:t>su-naj-naj</w:t>
            </w:r>
            <w:r w:rsidRPr="00B65CA1">
              <w:t xml:space="preserve">, koje su ujedno i pripjev pjesmi, učenici poskakuju u mjestu izmjenjujući noge. Neka </w:t>
            </w:r>
            <w:r w:rsidRPr="00B65CA1">
              <w:lastRenderedPageBreak/>
              <w:t xml:space="preserve">učenici </w:t>
            </w:r>
            <w:r>
              <w:t>pri</w:t>
            </w:r>
            <w:r w:rsidRPr="00B65CA1">
              <w:t xml:space="preserve"> poskakivanj</w:t>
            </w:r>
            <w:r>
              <w:t>u</w:t>
            </w:r>
            <w:r w:rsidRPr="00B65CA1">
              <w:t xml:space="preserve"> noge zabacuju prema naprijed.</w:t>
            </w:r>
          </w:p>
          <w:p w14:paraId="6C77AB01" w14:textId="77777777" w:rsidR="00AB7CBA" w:rsidRPr="00B65CA1" w:rsidRDefault="00AB7CBA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45E842DE" w14:textId="77777777" w:rsidR="00AB7CBA" w:rsidRPr="00B65CA1" w:rsidRDefault="00AB7CBA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4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58827DF5" w14:textId="77777777" w:rsidR="000D376B" w:rsidRDefault="00AB7CBA" w:rsidP="000D376B">
            <w:pPr>
              <w:outlineLvl w:val="0"/>
              <w:rPr>
                <w:i/>
              </w:rPr>
            </w:pPr>
            <w:r w:rsidRPr="00B65CA1">
              <w:rPr>
                <w:rFonts w:cstheme="minorHAnsi"/>
              </w:rPr>
              <w:t xml:space="preserve">Učenici slušaju pjesmu </w:t>
            </w:r>
            <w:r w:rsidRPr="00B65CA1">
              <w:rPr>
                <w:i/>
              </w:rPr>
              <w:t xml:space="preserve">Grad se </w:t>
            </w:r>
            <w:proofErr w:type="spellStart"/>
            <w:r w:rsidRPr="00B65CA1">
              <w:rPr>
                <w:i/>
              </w:rPr>
              <w:t>beli</w:t>
            </w:r>
            <w:proofErr w:type="spellEnd"/>
            <w:r w:rsidRPr="00B65CA1">
              <w:t xml:space="preserve"> u dvije različite izvedbe, </w:t>
            </w:r>
            <w:proofErr w:type="spellStart"/>
            <w:r w:rsidRPr="00B65CA1">
              <w:rPr>
                <w:i/>
              </w:rPr>
              <w:t>Ladarica</w:t>
            </w:r>
            <w:proofErr w:type="spellEnd"/>
            <w:r w:rsidRPr="00B65CA1">
              <w:t xml:space="preserve"> i </w:t>
            </w:r>
            <w:proofErr w:type="spellStart"/>
            <w:r w:rsidRPr="00B65CA1">
              <w:rPr>
                <w:i/>
              </w:rPr>
              <w:t>Singrlica.</w:t>
            </w:r>
            <w:proofErr w:type="spellEnd"/>
          </w:p>
          <w:p w14:paraId="2DC5A724" w14:textId="11842B96" w:rsidR="000D376B" w:rsidRPr="000D376B" w:rsidRDefault="000D376B" w:rsidP="000D376B">
            <w:pPr>
              <w:outlineLvl w:val="0"/>
              <w:rPr>
                <w:i/>
              </w:rPr>
            </w:pPr>
            <w:hyperlink r:id="rId5" w:history="1">
              <w:r w:rsidRPr="00546F9F">
                <w:rPr>
                  <w:rStyle w:val="Hiperveza"/>
                  <w:rFonts w:ascii="Calibri" w:hAnsi="Calibri" w:cs="Calibri"/>
                </w:rPr>
                <w:t>https://www.youtube.com/watch?v=0vRWs50jy2o</w:t>
              </w:r>
            </w:hyperlink>
          </w:p>
          <w:p w14:paraId="07A17479" w14:textId="77777777" w:rsidR="000D376B" w:rsidRPr="00A104F0" w:rsidRDefault="000D376B" w:rsidP="000D376B">
            <w:pPr>
              <w:spacing w:before="240"/>
              <w:rPr>
                <w:rFonts w:ascii="Calibri" w:hAnsi="Calibri" w:cs="Calibri"/>
                <w:color w:val="393939"/>
                <w:shd w:val="clear" w:color="auto" w:fill="FFFFFF"/>
              </w:rPr>
            </w:pPr>
            <w:hyperlink r:id="rId6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https://www.youtube.com/watch?v=LUBUcgCzo70</w:t>
              </w:r>
            </w:hyperlink>
          </w:p>
          <w:p w14:paraId="6EDA3487" w14:textId="77777777" w:rsidR="00AB7CBA" w:rsidRPr="00B65CA1" w:rsidRDefault="00AB7CBA" w:rsidP="007435A8">
            <w:pPr>
              <w:outlineLvl w:val="0"/>
              <w:rPr>
                <w:rFonts w:cstheme="minorHAnsi"/>
              </w:rPr>
            </w:pPr>
          </w:p>
          <w:p w14:paraId="441E022C" w14:textId="77777777" w:rsidR="00AB7CBA" w:rsidRPr="00B65CA1" w:rsidRDefault="00AB7CBA" w:rsidP="007435A8">
            <w:pPr>
              <w:outlineLvl w:val="0"/>
              <w:rPr>
                <w:rFonts w:cstheme="minorHAnsi"/>
              </w:rPr>
            </w:pPr>
            <w:r w:rsidRPr="00B65CA1">
              <w:t>U razredu označite dva nasuprotna mjesta i označite ih brojem jedan i dva. Neka učenici obrate pozornost na glazbala koja prate pjesmu, tempo i izražajnost pjevanja. Recite učenicima da nakon slušanja ob</w:t>
            </w:r>
            <w:r>
              <w:t>aju</w:t>
            </w:r>
            <w:r w:rsidRPr="00B65CA1">
              <w:t xml:space="preserve"> izvedb</w:t>
            </w:r>
            <w:r>
              <w:t>i</w:t>
            </w:r>
            <w:r w:rsidRPr="00B65CA1">
              <w:t>, ovisno o tome čija im se izvedba pjesme više svidjela, prema zadanim kriterijima zauzmu i mjesto. Oni kojima se više svidjela prva izvedba, neka stanu na mjesto broj jedan</w:t>
            </w:r>
            <w:r>
              <w:t xml:space="preserve">, a </w:t>
            </w:r>
            <w:r w:rsidRPr="00B65CA1">
              <w:t xml:space="preserve">ako im se </w:t>
            </w:r>
            <w:r>
              <w:t xml:space="preserve">više </w:t>
            </w:r>
            <w:r w:rsidRPr="00B65CA1">
              <w:t>svidjela druga izvedba na mjesto broj dva. Unutar skupine koju su odabrali neka zajedničkim snagama pronađu razloge zbog koj</w:t>
            </w:r>
            <w:r>
              <w:t>ih</w:t>
            </w:r>
            <w:r w:rsidRPr="00B65CA1">
              <w:t xml:space="preserve"> su se odlučili za odabrano mjesto te</w:t>
            </w:r>
            <w:r>
              <w:t xml:space="preserve"> ih napišu</w:t>
            </w:r>
            <w:r w:rsidRPr="00B65CA1">
              <w:t xml:space="preserve"> na jedan zajednički papir. Jedan predstavnik skupine neka ih pročita drugoj skupini.</w:t>
            </w:r>
          </w:p>
        </w:tc>
        <w:tc>
          <w:tcPr>
            <w:tcW w:w="4536" w:type="dxa"/>
            <w:gridSpan w:val="3"/>
            <w:vMerge/>
          </w:tcPr>
          <w:p w14:paraId="4E4637D0" w14:textId="77777777" w:rsidR="00AB7CBA" w:rsidRPr="00B65CA1" w:rsidRDefault="00AB7CBA" w:rsidP="007435A8">
            <w:pPr>
              <w:rPr>
                <w:rFonts w:cstheme="minorHAnsi"/>
              </w:rPr>
            </w:pPr>
          </w:p>
        </w:tc>
      </w:tr>
    </w:tbl>
    <w:p w14:paraId="663A8B2E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CBA"/>
    <w:rsid w:val="000D376B"/>
    <w:rsid w:val="006C70CE"/>
    <w:rsid w:val="00AB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0005"/>
  <w15:chartTrackingRefBased/>
  <w15:docId w15:val="{098A5DFE-147E-438A-A8C1-464B7341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CB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7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AB7CBA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AB7CBA"/>
  </w:style>
  <w:style w:type="paragraph" w:customStyle="1" w:styleId="Pa31">
    <w:name w:val="Pa3+1"/>
    <w:basedOn w:val="Normal"/>
    <w:next w:val="Normal"/>
    <w:rsid w:val="00AB7CBA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AB7CBA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0D376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D3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UBUcgCzo70" TargetMode="External"/><Relationship Id="rId5" Type="http://schemas.openxmlformats.org/officeDocument/2006/relationships/hyperlink" Target="https://www.youtube.com/watch?v=0vRWs50jy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786</Words>
  <Characters>4482</Characters>
  <Application>Microsoft Office Word</Application>
  <DocSecurity>0</DocSecurity>
  <Lines>37</Lines>
  <Paragraphs>10</Paragraphs>
  <ScaleCrop>false</ScaleCrop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2020-08-26T15:39:00Z</dcterms:created>
  <dcterms:modified xsi:type="dcterms:W3CDTF">2020-08-26T19:14:00Z</dcterms:modified>
</cp:coreProperties>
</file>