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6"/>
        <w:gridCol w:w="2642"/>
        <w:gridCol w:w="501"/>
        <w:gridCol w:w="1304"/>
        <w:gridCol w:w="2559"/>
      </w:tblGrid>
      <w:tr w:rsidR="001374EB" w:rsidRPr="00B65CA1" w14:paraId="4429186E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3D4CC16A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44A4E32A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04AB8C11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35</w:t>
            </w:r>
          </w:p>
        </w:tc>
      </w:tr>
      <w:tr w:rsidR="001374EB" w:rsidRPr="00B65CA1" w14:paraId="5968C54B" w14:textId="77777777" w:rsidTr="007435A8">
        <w:tc>
          <w:tcPr>
            <w:tcW w:w="2116" w:type="dxa"/>
          </w:tcPr>
          <w:p w14:paraId="779B0CE6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124AC4B3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1374EB" w:rsidRPr="00B65CA1" w14:paraId="4A7AFCF5" w14:textId="77777777" w:rsidTr="007435A8">
        <w:tc>
          <w:tcPr>
            <w:tcW w:w="2116" w:type="dxa"/>
          </w:tcPr>
          <w:p w14:paraId="2365A5EA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0D9AC96B" w14:textId="77777777" w:rsidR="001374EB" w:rsidRPr="00B65CA1" w:rsidRDefault="001374E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62DC552" w14:textId="77777777" w:rsidR="001374EB" w:rsidRPr="00B65CA1" w:rsidRDefault="001374E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24F79E27" w14:textId="77777777" w:rsidR="001374EB" w:rsidRPr="00B65CA1" w:rsidRDefault="001374EB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1374EB" w:rsidRPr="00B65CA1" w14:paraId="305F2A71" w14:textId="77777777" w:rsidTr="007435A8">
        <w:tc>
          <w:tcPr>
            <w:tcW w:w="2116" w:type="dxa"/>
          </w:tcPr>
          <w:p w14:paraId="6B472515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23668DEB" w14:textId="77777777" w:rsidR="001374EB" w:rsidRPr="00B65CA1" w:rsidRDefault="001374EB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Na kraju smo priče</w:t>
            </w:r>
          </w:p>
        </w:tc>
      </w:tr>
      <w:tr w:rsidR="001374EB" w:rsidRPr="00B65CA1" w14:paraId="5D6880BD" w14:textId="77777777" w:rsidTr="007435A8">
        <w:tc>
          <w:tcPr>
            <w:tcW w:w="2116" w:type="dxa"/>
          </w:tcPr>
          <w:p w14:paraId="4DEC021F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721A4DA1" w14:textId="77777777" w:rsidR="001374EB" w:rsidRPr="00B65CA1" w:rsidRDefault="001374EB" w:rsidP="007435A8">
            <w:pPr>
              <w:rPr>
                <w:rFonts w:eastAsia="Calibri" w:cstheme="minorHAnsi"/>
                <w:i/>
                <w:color w:val="000000"/>
                <w:shd w:val="clear" w:color="auto" w:fill="FFFFFF"/>
              </w:rPr>
            </w:pPr>
            <w:r w:rsidRPr="00B65CA1">
              <w:rPr>
                <w:rFonts w:cstheme="minorHAnsi"/>
              </w:rPr>
              <w:t>PJEVANJE I SVIRANJE:</w:t>
            </w: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 xml:space="preserve"> </w:t>
            </w:r>
            <w:r w:rsidRPr="00B65CA1">
              <w:t xml:space="preserve">Ivica Stamać: </w:t>
            </w: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>Maestral</w:t>
            </w:r>
          </w:p>
          <w:p w14:paraId="762108AE" w14:textId="77777777" w:rsidR="001374EB" w:rsidRPr="00B65CA1" w:rsidRDefault="001374EB" w:rsidP="007435A8">
            <w:pPr>
              <w:rPr>
                <w:rFonts w:eastAsia="Calibri" w:cstheme="minorHAnsi"/>
                <w:i/>
                <w:color w:val="000000"/>
                <w:shd w:val="clear" w:color="auto" w:fill="FFFFFF"/>
              </w:rPr>
            </w:pPr>
            <w:r w:rsidRPr="00B65CA1">
              <w:rPr>
                <w:rFonts w:eastAsia="Calibri" w:cstheme="minorHAnsi"/>
                <w:i/>
                <w:color w:val="000000"/>
                <w:shd w:val="clear" w:color="auto" w:fill="FFFFFF"/>
              </w:rPr>
              <w:t>ENCI MENCI</w:t>
            </w:r>
            <w:r w:rsidRPr="00B65CA1">
              <w:rPr>
                <w:rFonts w:eastAsia="Calibri" w:cstheme="minorHAnsi"/>
                <w:color w:val="000000"/>
                <w:shd w:val="clear" w:color="auto" w:fill="FFFFFF"/>
              </w:rPr>
              <w:t>, brojalica</w:t>
            </w:r>
          </w:p>
          <w:p w14:paraId="6C56EA54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000000"/>
              </w:rPr>
              <w:t xml:space="preserve">SLUŠANJE I POKRET: </w:t>
            </w:r>
            <w:proofErr w:type="spellStart"/>
            <w:r w:rsidRPr="00B65CA1">
              <w:t>Camille</w:t>
            </w:r>
            <w:proofErr w:type="spellEnd"/>
            <w:r w:rsidRPr="00B65CA1">
              <w:t xml:space="preserve"> Saint </w:t>
            </w:r>
            <w:proofErr w:type="spellStart"/>
            <w:r w:rsidRPr="00B65CA1">
              <w:t>Sa</w:t>
            </w:r>
            <w:r w:rsidRPr="00B65CA1">
              <w:rPr>
                <w:rFonts w:cstheme="minorHAnsi"/>
              </w:rPr>
              <w:t>ë</w:t>
            </w:r>
            <w:r w:rsidRPr="00B65CA1">
              <w:t>ns</w:t>
            </w:r>
            <w:proofErr w:type="spellEnd"/>
            <w:r w:rsidRPr="00B65CA1">
              <w:rPr>
                <w:rFonts w:cstheme="minorHAnsi"/>
                <w:color w:val="000000"/>
              </w:rPr>
              <w:t xml:space="preserve">: </w:t>
            </w:r>
            <w:r w:rsidRPr="00B65CA1">
              <w:rPr>
                <w:rFonts w:cstheme="minorHAnsi"/>
                <w:i/>
                <w:color w:val="000000"/>
              </w:rPr>
              <w:t>Karneval životinja - Akvarij</w:t>
            </w:r>
          </w:p>
        </w:tc>
      </w:tr>
      <w:tr w:rsidR="001374EB" w:rsidRPr="00B65CA1" w14:paraId="11D7C981" w14:textId="77777777" w:rsidTr="007435A8">
        <w:tc>
          <w:tcPr>
            <w:tcW w:w="2116" w:type="dxa"/>
          </w:tcPr>
          <w:p w14:paraId="0D1FC5FA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16FAD034" w14:textId="77777777" w:rsidR="001374EB" w:rsidRPr="00B65CA1" w:rsidRDefault="001374EB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2F122033" w14:textId="77777777" w:rsidR="001374EB" w:rsidRPr="00B65CA1" w:rsidRDefault="001374E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656A1F0A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D71B6B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 </w:t>
            </w:r>
            <w:r w:rsidRPr="00D71B6B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 </w:t>
            </w:r>
            <w:r w:rsidRPr="00D71B6B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3335ACA8" w14:textId="77777777" w:rsidR="001374EB" w:rsidRPr="00B65CA1" w:rsidRDefault="001374EB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2D2D83B2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D71B6B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46221543" w14:textId="77777777" w:rsidR="001374EB" w:rsidRPr="00B65CA1" w:rsidRDefault="001374E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24967DC3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D71B6B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3C637430" w14:textId="77777777" w:rsidR="001374EB" w:rsidRPr="00B65CA1" w:rsidRDefault="001374E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4E6D20D1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D71B6B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4B90C16D" w14:textId="77777777" w:rsidR="001374EB" w:rsidRPr="00B65CA1" w:rsidRDefault="001374E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0B5941BA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D71B6B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7A3B28DA" w14:textId="77777777" w:rsidR="001374EB" w:rsidRPr="00B65CA1" w:rsidRDefault="001374E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4A9B1A72" w14:textId="77777777" w:rsidR="001374E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D71B6B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3B526CF1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D71B6B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D71B6B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D71B6B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642A381C" w14:textId="77777777" w:rsidR="001374EB" w:rsidRPr="00B65CA1" w:rsidRDefault="001374EB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42B76CDA" w14:textId="77777777" w:rsidR="001374EB" w:rsidRPr="00D71B6B" w:rsidRDefault="001374EB" w:rsidP="001374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D71B6B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1374EB" w:rsidRPr="00B65CA1" w14:paraId="394D6FB0" w14:textId="77777777" w:rsidTr="007435A8">
        <w:tc>
          <w:tcPr>
            <w:tcW w:w="4957" w:type="dxa"/>
            <w:gridSpan w:val="2"/>
          </w:tcPr>
          <w:p w14:paraId="1E5A1954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018A7F97" w14:textId="77777777" w:rsidR="001374EB" w:rsidRPr="00B65CA1" w:rsidRDefault="001374EB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1374EB" w:rsidRPr="00B65CA1" w14:paraId="1EE2EE59" w14:textId="77777777" w:rsidTr="007435A8">
        <w:tc>
          <w:tcPr>
            <w:tcW w:w="4957" w:type="dxa"/>
            <w:gridSpan w:val="2"/>
          </w:tcPr>
          <w:p w14:paraId="6AC296BE" w14:textId="77777777" w:rsidR="001374EB" w:rsidRPr="00B65CA1" w:rsidRDefault="001374E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461DDA3A" w14:textId="77777777" w:rsidR="001374EB" w:rsidRPr="00B65CA1" w:rsidRDefault="001374EB" w:rsidP="007435A8">
            <w:pPr>
              <w:outlineLvl w:val="0"/>
            </w:pPr>
            <w:r w:rsidRPr="00B65CA1">
              <w:t>Učenici izrađuju brodove od papira. Brodove mogu oboj</w:t>
            </w:r>
            <w:r>
              <w:t>i</w:t>
            </w:r>
            <w:r w:rsidRPr="00B65CA1">
              <w:t xml:space="preserve">ti ili ukrasiti različitim materijalima. </w:t>
            </w:r>
          </w:p>
        </w:tc>
        <w:tc>
          <w:tcPr>
            <w:tcW w:w="4536" w:type="dxa"/>
            <w:gridSpan w:val="3"/>
            <w:vMerge w:val="restart"/>
          </w:tcPr>
          <w:p w14:paraId="0249CFCC" w14:textId="77777777" w:rsidR="001374EB" w:rsidRPr="00B65CA1" w:rsidRDefault="001374E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5. Učenik upotrebljava i objašnjava riječi, sintagme i rečenice u skladu s komunikacijskom situacijom.</w:t>
            </w:r>
          </w:p>
          <w:p w14:paraId="64B567B9" w14:textId="77777777" w:rsidR="001374EB" w:rsidRPr="00B65CA1" w:rsidRDefault="001374E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</w:p>
          <w:p w14:paraId="1E592144" w14:textId="77777777" w:rsidR="001374EB" w:rsidRDefault="001374E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C5DFE40" w14:textId="77777777" w:rsidR="001374EB" w:rsidRDefault="001374E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CEFC135" w14:textId="77777777" w:rsidR="001374EB" w:rsidRPr="00B65CA1" w:rsidRDefault="001374E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34D3CD92" w14:textId="77777777" w:rsidR="001374EB" w:rsidRPr="00B65CA1" w:rsidRDefault="001374E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3C82202C" w14:textId="77777777" w:rsidR="001374EB" w:rsidRPr="00B65CA1" w:rsidRDefault="001374E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6719126C" w14:textId="77777777" w:rsidR="001374EB" w:rsidRPr="00B65CA1" w:rsidRDefault="001374E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Uočava povezanost između prirode i zdravoga života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47E49C4A" w14:textId="77777777" w:rsidR="001374EB" w:rsidRPr="00B65CA1" w:rsidRDefault="001374EB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284CA1AB" w14:textId="77777777" w:rsidR="001374EB" w:rsidRPr="00B65CA1" w:rsidRDefault="001374E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1374EB" w:rsidRPr="00B65CA1" w14:paraId="7553DBA6" w14:textId="77777777" w:rsidTr="007435A8">
        <w:tc>
          <w:tcPr>
            <w:tcW w:w="4957" w:type="dxa"/>
            <w:gridSpan w:val="2"/>
          </w:tcPr>
          <w:p w14:paraId="02DE7BEA" w14:textId="77777777" w:rsidR="001374EB" w:rsidRPr="00B65CA1" w:rsidRDefault="001374E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2C448099" w14:textId="77777777" w:rsidR="001374EB" w:rsidRPr="00B65CA1" w:rsidRDefault="001374EB" w:rsidP="007435A8">
            <w:pPr>
              <w:outlineLvl w:val="0"/>
            </w:pPr>
            <w:r w:rsidRPr="00B65CA1">
              <w:t>Uz pjevanje pjesme kod učenika potaknite razvijanje smisla za ritamsku improvizaciju. Učenike podijelite u dvije skupine. Dok pjevaju pjesmu</w:t>
            </w:r>
            <w:r>
              <w:t>,</w:t>
            </w:r>
            <w:r w:rsidRPr="00B65CA1">
              <w:t xml:space="preserve"> neka dostupnim glazbalima improviziraju </w:t>
            </w:r>
            <w:r w:rsidRPr="00B65CA1">
              <w:lastRenderedPageBreak/>
              <w:t xml:space="preserve">glazbenu pratnju pjevanju. Jedna skupina neka svira na prvu, a druga na drugu strofu. </w:t>
            </w:r>
          </w:p>
          <w:p w14:paraId="5B063716" w14:textId="77777777" w:rsidR="001374EB" w:rsidRPr="00D71B6B" w:rsidRDefault="001374E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 xml:space="preserve">Potaknite učenike da odluče koja je skupina lijepo i estetski najprihvatljivije osmislila glazbenu pratnju. </w:t>
            </w:r>
          </w:p>
          <w:p w14:paraId="187C3F1B" w14:textId="77777777" w:rsidR="001374EB" w:rsidRPr="00B65CA1" w:rsidRDefault="001374EB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Uzmite veliku prostirku, plahtu ili dekicu u plavoj boji koja će predstavljati more. Na nju postavite sve brodove od papira koje su učenici izradili. Neka je drže za rubove i lagano mašu dolje-gore,  kao da vjetar ljulja brodove na njoj. Pjesmu pjevajte uz matricu.</w:t>
            </w:r>
          </w:p>
          <w:p w14:paraId="718DA8CD" w14:textId="77777777" w:rsidR="001374EB" w:rsidRPr="00B65CA1" w:rsidRDefault="001374EB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6291B0F0" w14:textId="77777777" w:rsidR="001374EB" w:rsidRPr="00B65CA1" w:rsidRDefault="001374E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0A3DD9C2" w14:textId="77777777" w:rsidR="001374EB" w:rsidRPr="00B65CA1" w:rsidRDefault="001374EB" w:rsidP="007435A8">
            <w:pPr>
              <w:outlineLvl w:val="0"/>
              <w:rPr>
                <w:rFonts w:cstheme="minorHAnsi"/>
              </w:rPr>
            </w:pPr>
            <w:r w:rsidRPr="00B65CA1">
              <w:t xml:space="preserve">Ponovite slušanje skladbe </w:t>
            </w:r>
            <w:r w:rsidRPr="00B65CA1">
              <w:rPr>
                <w:i/>
              </w:rPr>
              <w:t>Akvarij</w:t>
            </w:r>
            <w:r w:rsidRPr="00B65CA1">
              <w:t xml:space="preserve"> </w:t>
            </w:r>
            <w:proofErr w:type="spellStart"/>
            <w:r w:rsidRPr="00B65CA1">
              <w:t>Camillea</w:t>
            </w:r>
            <w:proofErr w:type="spellEnd"/>
            <w:r w:rsidRPr="00B65CA1">
              <w:t xml:space="preserve"> Saint-</w:t>
            </w:r>
            <w:proofErr w:type="spellStart"/>
            <w:r w:rsidRPr="00B65CA1">
              <w:t>Saënsa</w:t>
            </w:r>
            <w:proofErr w:type="spellEnd"/>
            <w:r w:rsidRPr="00B65CA1">
              <w:t xml:space="preserve">. </w:t>
            </w:r>
            <w:r w:rsidRPr="00B65CA1">
              <w:rPr>
                <w:rFonts w:cstheme="minorHAnsi"/>
                <w:bCs/>
                <w:shd w:val="clear" w:color="auto" w:fill="FFFFFF"/>
              </w:rPr>
              <w:t>Ist</w:t>
            </w:r>
            <w:r>
              <w:rPr>
                <w:rFonts w:cstheme="minorHAnsi"/>
                <w:bCs/>
                <w:shd w:val="clear" w:color="auto" w:fill="FFFFFF"/>
              </w:rPr>
              <w:t>om se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prostirk</w:t>
            </w:r>
            <w:r>
              <w:rPr>
                <w:rFonts w:cstheme="minorHAnsi"/>
                <w:bCs/>
                <w:shd w:val="clear" w:color="auto" w:fill="FFFFFF"/>
              </w:rPr>
              <w:t>om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koristite kako biste dočarali akvarij. Nekoliko učenika neka je drž</w:t>
            </w:r>
            <w:r>
              <w:rPr>
                <w:rFonts w:cstheme="minorHAnsi"/>
                <w:bCs/>
                <w:shd w:val="clear" w:color="auto" w:fill="FFFFFF"/>
              </w:rPr>
              <w:t>i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visoko u zraku dok ostali glume životinje u akvariju ispod prostirke. Svaki puta kada čuju zvončiće trebaju mirno čučnuti i ne micati se.</w:t>
            </w:r>
          </w:p>
          <w:p w14:paraId="01D7908B" w14:textId="77777777" w:rsidR="001374EB" w:rsidRPr="00B65CA1" w:rsidRDefault="001374EB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45D0C64A" w14:textId="77777777" w:rsidR="001374EB" w:rsidRPr="00B65CA1" w:rsidRDefault="001374EB" w:rsidP="007435A8">
            <w:pPr>
              <w:rPr>
                <w:rFonts w:cstheme="minorHAnsi"/>
              </w:rPr>
            </w:pPr>
          </w:p>
        </w:tc>
      </w:tr>
    </w:tbl>
    <w:p w14:paraId="04BB7CD6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B"/>
    <w:rsid w:val="001374EB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D437"/>
  <w15:chartTrackingRefBased/>
  <w15:docId w15:val="{1D35E897-7572-4196-9B39-2F23BC77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4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1374EB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1374EB"/>
  </w:style>
  <w:style w:type="paragraph" w:customStyle="1" w:styleId="Pa31">
    <w:name w:val="Pa3+1"/>
    <w:basedOn w:val="Normal"/>
    <w:next w:val="Normal"/>
    <w:rsid w:val="001374EB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1374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2020-08-26T18:50:00Z</dcterms:created>
  <dcterms:modified xsi:type="dcterms:W3CDTF">2020-08-26T18:50:00Z</dcterms:modified>
</cp:coreProperties>
</file>