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116"/>
        <w:gridCol w:w="2810"/>
        <w:gridCol w:w="457"/>
        <w:gridCol w:w="1299"/>
        <w:gridCol w:w="2380"/>
      </w:tblGrid>
      <w:tr w:rsidR="00253DF7" w:rsidRPr="00B65CA1" w14:paraId="1E90C8A1" w14:textId="77777777" w:rsidTr="007435A8">
        <w:tc>
          <w:tcPr>
            <w:tcW w:w="5491" w:type="dxa"/>
            <w:gridSpan w:val="3"/>
            <w:shd w:val="clear" w:color="auto" w:fill="DEEAF6" w:themeFill="accent5" w:themeFillTint="33"/>
          </w:tcPr>
          <w:p w14:paraId="4F0D89E2" w14:textId="77777777" w:rsidR="00253DF7" w:rsidRPr="00B65CA1" w:rsidRDefault="00253DF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308" w:type="dxa"/>
            <w:shd w:val="clear" w:color="auto" w:fill="DEEAF6" w:themeFill="accent5" w:themeFillTint="33"/>
          </w:tcPr>
          <w:p w14:paraId="556F7BE4" w14:textId="77777777" w:rsidR="00253DF7" w:rsidRPr="00B65CA1" w:rsidRDefault="00253DF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30F0BD09" w14:textId="77777777" w:rsidR="00253DF7" w:rsidRPr="00B65CA1" w:rsidRDefault="00253DF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34</w:t>
            </w:r>
          </w:p>
        </w:tc>
      </w:tr>
      <w:tr w:rsidR="00253DF7" w:rsidRPr="00B65CA1" w14:paraId="7C89F36D" w14:textId="77777777" w:rsidTr="007435A8">
        <w:tc>
          <w:tcPr>
            <w:tcW w:w="2116" w:type="dxa"/>
          </w:tcPr>
          <w:p w14:paraId="336D9178" w14:textId="77777777" w:rsidR="00253DF7" w:rsidRPr="00B65CA1" w:rsidRDefault="00253DF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7" w:type="dxa"/>
            <w:gridSpan w:val="4"/>
          </w:tcPr>
          <w:p w14:paraId="0D727F4A" w14:textId="77777777" w:rsidR="00253DF7" w:rsidRPr="00B65CA1" w:rsidRDefault="00253DF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253DF7" w:rsidRPr="00B65CA1" w14:paraId="0F8BBECE" w14:textId="77777777" w:rsidTr="007435A8">
        <w:tc>
          <w:tcPr>
            <w:tcW w:w="2116" w:type="dxa"/>
          </w:tcPr>
          <w:p w14:paraId="534C899E" w14:textId="77777777" w:rsidR="00253DF7" w:rsidRPr="00B65CA1" w:rsidRDefault="00253DF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7" w:type="dxa"/>
            <w:gridSpan w:val="4"/>
          </w:tcPr>
          <w:p w14:paraId="3A485754" w14:textId="77777777" w:rsidR="00253DF7" w:rsidRPr="00B65CA1" w:rsidRDefault="00253DF7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044AFEB2" w14:textId="77777777" w:rsidR="00253DF7" w:rsidRPr="00B65CA1" w:rsidRDefault="00253DF7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4C19A996" w14:textId="77777777" w:rsidR="00253DF7" w:rsidRPr="00B65CA1" w:rsidRDefault="00253DF7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253DF7" w:rsidRPr="00B65CA1" w14:paraId="7A842135" w14:textId="77777777" w:rsidTr="007435A8">
        <w:tc>
          <w:tcPr>
            <w:tcW w:w="2116" w:type="dxa"/>
          </w:tcPr>
          <w:p w14:paraId="7F239A1B" w14:textId="77777777" w:rsidR="00253DF7" w:rsidRPr="00B65CA1" w:rsidRDefault="00253DF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7" w:type="dxa"/>
            <w:gridSpan w:val="4"/>
          </w:tcPr>
          <w:p w14:paraId="13DC03A2" w14:textId="77777777" w:rsidR="00253DF7" w:rsidRPr="00B65CA1" w:rsidRDefault="00253DF7" w:rsidP="007435A8">
            <w:pPr>
              <w:pStyle w:val="Pa31"/>
              <w:spacing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Na kraju smo priče</w:t>
            </w:r>
          </w:p>
        </w:tc>
      </w:tr>
      <w:tr w:rsidR="00253DF7" w:rsidRPr="00B65CA1" w14:paraId="5CBF7815" w14:textId="77777777" w:rsidTr="007435A8">
        <w:tc>
          <w:tcPr>
            <w:tcW w:w="2116" w:type="dxa"/>
          </w:tcPr>
          <w:p w14:paraId="39FAF9C5" w14:textId="77777777" w:rsidR="00253DF7" w:rsidRPr="00B65CA1" w:rsidRDefault="00253DF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7" w:type="dxa"/>
            <w:gridSpan w:val="4"/>
          </w:tcPr>
          <w:p w14:paraId="6C4CDCCC" w14:textId="77777777" w:rsidR="00253DF7" w:rsidRPr="00B65CA1" w:rsidRDefault="00253DF7" w:rsidP="007435A8">
            <w:pPr>
              <w:rPr>
                <w:rFonts w:eastAsia="Calibri" w:cstheme="minorHAnsi"/>
                <w:i/>
                <w:color w:val="000000"/>
                <w:shd w:val="clear" w:color="auto" w:fill="FFFFFF"/>
              </w:rPr>
            </w:pPr>
            <w:r w:rsidRPr="00B65CA1">
              <w:rPr>
                <w:rFonts w:cstheme="minorHAnsi"/>
              </w:rPr>
              <w:t>PJEVANJE I SVIRANJE:</w:t>
            </w:r>
            <w:r w:rsidRPr="00B65CA1">
              <w:rPr>
                <w:rFonts w:eastAsia="Calibri" w:cstheme="minorHAnsi"/>
                <w:i/>
                <w:color w:val="000000"/>
                <w:shd w:val="clear" w:color="auto" w:fill="FFFFFF"/>
              </w:rPr>
              <w:t xml:space="preserve"> </w:t>
            </w:r>
            <w:r w:rsidRPr="00B65CA1">
              <w:t xml:space="preserve">Ivica Stamać: </w:t>
            </w:r>
            <w:r w:rsidRPr="00B65CA1">
              <w:rPr>
                <w:rFonts w:eastAsia="Calibri" w:cstheme="minorHAnsi"/>
                <w:i/>
                <w:color w:val="000000"/>
                <w:shd w:val="clear" w:color="auto" w:fill="FFFFFF"/>
              </w:rPr>
              <w:t>Maestral</w:t>
            </w:r>
          </w:p>
          <w:p w14:paraId="5BBF5CF8" w14:textId="77777777" w:rsidR="00253DF7" w:rsidRPr="00B65CA1" w:rsidRDefault="00253DF7" w:rsidP="007435A8">
            <w:pPr>
              <w:rPr>
                <w:rFonts w:eastAsia="Calibri" w:cstheme="minorHAnsi"/>
                <w:i/>
                <w:color w:val="000000"/>
                <w:shd w:val="clear" w:color="auto" w:fill="FFFFFF"/>
              </w:rPr>
            </w:pPr>
            <w:r w:rsidRPr="00B65CA1">
              <w:rPr>
                <w:rFonts w:eastAsia="Calibri" w:cstheme="minorHAnsi"/>
                <w:i/>
                <w:color w:val="000000"/>
                <w:shd w:val="clear" w:color="auto" w:fill="FFFFFF"/>
              </w:rPr>
              <w:t>ENCI MENCI</w:t>
            </w:r>
            <w:r w:rsidRPr="00B65CA1">
              <w:rPr>
                <w:rFonts w:eastAsia="Calibri" w:cstheme="minorHAnsi"/>
                <w:color w:val="000000"/>
                <w:shd w:val="clear" w:color="auto" w:fill="FFFFFF"/>
              </w:rPr>
              <w:t>, brojalica</w:t>
            </w:r>
          </w:p>
          <w:p w14:paraId="575E6E6F" w14:textId="77777777" w:rsidR="00253DF7" w:rsidRPr="00B65CA1" w:rsidRDefault="00253DF7" w:rsidP="007435A8">
            <w:pPr>
              <w:autoSpaceDE w:val="0"/>
              <w:autoSpaceDN w:val="0"/>
              <w:adjustRightInd w:val="0"/>
              <w:rPr>
                <w:rFonts w:cstheme="minorHAnsi"/>
                <w:b/>
                <w:i/>
                <w:color w:val="44546A" w:themeColor="text2"/>
              </w:rPr>
            </w:pPr>
            <w:r w:rsidRPr="00B65CA1">
              <w:rPr>
                <w:rFonts w:cstheme="minorHAnsi"/>
                <w:color w:val="000000"/>
              </w:rPr>
              <w:t xml:space="preserve">SLUŠANJE I POKRET: </w:t>
            </w:r>
            <w:proofErr w:type="spellStart"/>
            <w:r w:rsidRPr="00B65CA1">
              <w:t>Camille</w:t>
            </w:r>
            <w:proofErr w:type="spellEnd"/>
            <w:r w:rsidRPr="00B65CA1">
              <w:t xml:space="preserve"> Saint </w:t>
            </w:r>
            <w:proofErr w:type="spellStart"/>
            <w:r w:rsidRPr="00B65CA1">
              <w:t>Sa</w:t>
            </w:r>
            <w:r w:rsidRPr="00B65CA1">
              <w:rPr>
                <w:rFonts w:cstheme="minorHAnsi"/>
              </w:rPr>
              <w:t>ë</w:t>
            </w:r>
            <w:r w:rsidRPr="00B65CA1">
              <w:t>ns</w:t>
            </w:r>
            <w:proofErr w:type="spellEnd"/>
            <w:r w:rsidRPr="00B65CA1">
              <w:rPr>
                <w:rFonts w:cstheme="minorHAnsi"/>
                <w:color w:val="000000"/>
              </w:rPr>
              <w:t xml:space="preserve">: </w:t>
            </w:r>
            <w:r w:rsidRPr="00B65CA1">
              <w:rPr>
                <w:rFonts w:cstheme="minorHAnsi"/>
                <w:i/>
                <w:color w:val="000000"/>
              </w:rPr>
              <w:t>Karneval životinja - Akvarij</w:t>
            </w:r>
          </w:p>
        </w:tc>
      </w:tr>
      <w:tr w:rsidR="00253DF7" w:rsidRPr="00B65CA1" w14:paraId="2831BAAC" w14:textId="77777777" w:rsidTr="007435A8">
        <w:tc>
          <w:tcPr>
            <w:tcW w:w="2116" w:type="dxa"/>
          </w:tcPr>
          <w:p w14:paraId="386E9CB7" w14:textId="77777777" w:rsidR="00253DF7" w:rsidRPr="00B65CA1" w:rsidRDefault="00253DF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067EDF37" w14:textId="77777777" w:rsidR="00253DF7" w:rsidRPr="00B65CA1" w:rsidRDefault="00253DF7" w:rsidP="007435A8">
            <w:pPr>
              <w:rPr>
                <w:rFonts w:cstheme="minorHAnsi"/>
              </w:rPr>
            </w:pPr>
          </w:p>
        </w:tc>
        <w:tc>
          <w:tcPr>
            <w:tcW w:w="7377" w:type="dxa"/>
            <w:gridSpan w:val="4"/>
          </w:tcPr>
          <w:p w14:paraId="4C460670" w14:textId="77777777" w:rsidR="00253DF7" w:rsidRPr="00B65CA1" w:rsidRDefault="00253DF7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3571DF23" w14:textId="77777777" w:rsidR="00253DF7" w:rsidRPr="00EA74AD" w:rsidRDefault="00253DF7" w:rsidP="00253DF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EA74AD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 </w:t>
            </w:r>
            <w:r w:rsidRPr="00EA74AD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 </w:t>
            </w:r>
            <w:r w:rsidRPr="00EA74AD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6C8A237E" w14:textId="77777777" w:rsidR="00253DF7" w:rsidRPr="00B65CA1" w:rsidRDefault="00253DF7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0A809A8E" w14:textId="77777777" w:rsidR="00253DF7" w:rsidRPr="00EA74AD" w:rsidRDefault="00253DF7" w:rsidP="00253DF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EA74AD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02B5DDC8" w14:textId="77777777" w:rsidR="00253DF7" w:rsidRPr="00B65CA1" w:rsidRDefault="00253DF7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1609EADF" w14:textId="77777777" w:rsidR="00253DF7" w:rsidRPr="00EA74AD" w:rsidRDefault="00253DF7" w:rsidP="00253DF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EA74AD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15841CBF" w14:textId="77777777" w:rsidR="00253DF7" w:rsidRPr="00B65CA1" w:rsidRDefault="00253DF7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084F8A8E" w14:textId="77777777" w:rsidR="00253DF7" w:rsidRPr="00EA74AD" w:rsidRDefault="00253DF7" w:rsidP="00253DF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EA74AD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6E8321C8" w14:textId="77777777" w:rsidR="00253DF7" w:rsidRPr="00B65CA1" w:rsidRDefault="00253DF7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3. Učenik izvodi glazbene igre uz pjevanje, slušanje glazbe i pokret uz glazbu.</w:t>
            </w:r>
          </w:p>
          <w:p w14:paraId="37B3D856" w14:textId="77777777" w:rsidR="00253DF7" w:rsidRPr="00EA74AD" w:rsidRDefault="00253DF7" w:rsidP="00253DF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i</w:t>
            </w:r>
            <w:r w:rsidRPr="00EA74AD">
              <w:rPr>
                <w:rFonts w:cstheme="minorHAnsi"/>
                <w:color w:val="231F20"/>
                <w:lang w:eastAsia="hr-HR"/>
              </w:rPr>
              <w:t>zvodi glazbene igre uz pjevanje, s tonovima/melodijama /ritmovima, uz slušanje glazbe te prati glazbu pokretom, a pritom opaža i uvažava glazbeno-izražajne sastavnice</w:t>
            </w:r>
          </w:p>
          <w:p w14:paraId="097F3DA0" w14:textId="77777777" w:rsidR="00253DF7" w:rsidRPr="00B65CA1" w:rsidRDefault="00253DF7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4. Učenik stvara/improvizira melodijske i ritamske cjeline te svira uz pjesme/brojalice koje izvodi.</w:t>
            </w:r>
          </w:p>
          <w:p w14:paraId="716BE98E" w14:textId="77777777" w:rsidR="00253DF7" w:rsidRDefault="00253DF7" w:rsidP="00253DF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EA74AD">
              <w:rPr>
                <w:rFonts w:cstheme="minorHAnsi"/>
                <w:color w:val="231F20"/>
                <w:lang w:eastAsia="hr-HR"/>
              </w:rPr>
              <w:t>tvara/improvizira melodijske i ritamske cjeline pjevanjem, pokretom/plesom, pljeskanjem, lupkanjem, koračanjem i/ili udaraljkama</w:t>
            </w:r>
          </w:p>
          <w:p w14:paraId="53EBE2E6" w14:textId="77777777" w:rsidR="00253DF7" w:rsidRPr="00EA74AD" w:rsidRDefault="00253DF7" w:rsidP="00253DF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EA74AD">
              <w:rPr>
                <w:rFonts w:cstheme="minorHAnsi"/>
                <w:color w:val="231F20"/>
                <w:lang w:eastAsia="hr-HR"/>
              </w:rPr>
              <w:t xml:space="preserve">vira na udaraljkama ili </w:t>
            </w:r>
            <w:proofErr w:type="spellStart"/>
            <w:r w:rsidRPr="00EA74AD">
              <w:rPr>
                <w:rFonts w:cstheme="minorHAnsi"/>
                <w:color w:val="231F20"/>
                <w:lang w:eastAsia="hr-HR"/>
              </w:rPr>
              <w:t>tjeloglazbom</w:t>
            </w:r>
            <w:proofErr w:type="spellEnd"/>
            <w:r w:rsidRPr="00EA74AD">
              <w:rPr>
                <w:rFonts w:cstheme="minorHAnsi"/>
                <w:color w:val="231F20"/>
                <w:lang w:eastAsia="hr-HR"/>
              </w:rPr>
              <w:t xml:space="preserve"> uz pjesme/brojalice koje pjeva/izvodi</w:t>
            </w:r>
          </w:p>
          <w:p w14:paraId="1B6C6434" w14:textId="77777777" w:rsidR="00253DF7" w:rsidRPr="00B65CA1" w:rsidRDefault="00253DF7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284CDFC8" w14:textId="77777777" w:rsidR="00253DF7" w:rsidRPr="00EA74AD" w:rsidRDefault="00253DF7" w:rsidP="00253DF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n</w:t>
            </w:r>
            <w:r w:rsidRPr="00EA74AD">
              <w:rPr>
                <w:rFonts w:eastAsia="Times New Roman"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253DF7" w:rsidRPr="00B65CA1" w14:paraId="5CE6767D" w14:textId="77777777" w:rsidTr="007435A8">
        <w:tc>
          <w:tcPr>
            <w:tcW w:w="4957" w:type="dxa"/>
            <w:gridSpan w:val="2"/>
          </w:tcPr>
          <w:p w14:paraId="16D3291C" w14:textId="77777777" w:rsidR="00253DF7" w:rsidRPr="00B65CA1" w:rsidRDefault="00253DF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</w:tcPr>
          <w:p w14:paraId="3DDCDBBB" w14:textId="77777777" w:rsidR="00253DF7" w:rsidRPr="00B65CA1" w:rsidRDefault="00253DF7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253DF7" w:rsidRPr="00B65CA1" w14:paraId="6C76848C" w14:textId="77777777" w:rsidTr="007435A8">
        <w:tc>
          <w:tcPr>
            <w:tcW w:w="4957" w:type="dxa"/>
            <w:gridSpan w:val="2"/>
          </w:tcPr>
          <w:p w14:paraId="105C8649" w14:textId="77777777" w:rsidR="00253DF7" w:rsidRPr="00B65CA1" w:rsidRDefault="00253DF7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. Uvodna aktivnost </w:t>
            </w:r>
          </w:p>
          <w:p w14:paraId="48984F13" w14:textId="77777777" w:rsidR="00253DF7" w:rsidRPr="00B65CA1" w:rsidRDefault="00253DF7" w:rsidP="007435A8">
            <w:pPr>
              <w:outlineLvl w:val="0"/>
            </w:pPr>
            <w:r w:rsidRPr="00B65CA1">
              <w:t xml:space="preserve">Učiteljica/učitelj dijeli učenike u nekoliko skupina, ovisno o tome koliko je učenika u razredu. Predlažemo od četiri na više skupina. Svaka skupina ima drukčiji zadatak. </w:t>
            </w:r>
          </w:p>
          <w:p w14:paraId="161E5A5B" w14:textId="77777777" w:rsidR="00253DF7" w:rsidRPr="00B65CA1" w:rsidRDefault="00253DF7" w:rsidP="007435A8">
            <w:pPr>
              <w:outlineLvl w:val="0"/>
            </w:pPr>
            <w:r w:rsidRPr="00B65CA1">
              <w:t xml:space="preserve">Prva skupina neka dočara more koja udara o hridi, druga val koji za sobom vuče kamenje sa žala, treća </w:t>
            </w:r>
            <w:r w:rsidRPr="00B65CA1">
              <w:lastRenderedPageBreak/>
              <w:t xml:space="preserve">kliktanje kitova i njihovo ispuhivanje vode, četvrta zvukove brodova onako kako misle da se čuju pod morem i sl. Svaka skupina samostalno, jedna za drugom, neka predstavi mnoštvo raznolikih morskih zvukova. Kada su se skupine jedna za drugom predstavile, neka to učine i svi zajedno kako biste osluškivali život mora. Postupno dinamičko nijansiranje, možete izvoditi svi zajedno ili po skupinama. </w:t>
            </w:r>
          </w:p>
          <w:p w14:paraId="257D0F5B" w14:textId="77777777" w:rsidR="00253DF7" w:rsidRPr="00B65CA1" w:rsidRDefault="00253DF7" w:rsidP="007435A8">
            <w:pPr>
              <w:outlineLvl w:val="0"/>
            </w:pPr>
          </w:p>
        </w:tc>
        <w:tc>
          <w:tcPr>
            <w:tcW w:w="4536" w:type="dxa"/>
            <w:gridSpan w:val="3"/>
            <w:vMerge w:val="restart"/>
          </w:tcPr>
          <w:p w14:paraId="49C2D5AC" w14:textId="77777777" w:rsidR="00253DF7" w:rsidRPr="00B65CA1" w:rsidRDefault="00253DF7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lastRenderedPageBreak/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3. Učenik čita kratke tekstove tematski prikladne učeničkomu </w:t>
            </w: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5. Učenik upotrebljava i objašnjava riječi, sintagme i rečenice u skladu s komunikacijskom situacijom.</w:t>
            </w:r>
          </w:p>
          <w:p w14:paraId="528C097D" w14:textId="77777777" w:rsidR="00253DF7" w:rsidRPr="00B65CA1" w:rsidRDefault="00253DF7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2. 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ponašanja.</w:t>
            </w:r>
          </w:p>
          <w:p w14:paraId="6154F0BA" w14:textId="77777777" w:rsidR="00253DF7" w:rsidRDefault="00253DF7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</w:t>
            </w:r>
            <w:r>
              <w:rPr>
                <w:rFonts w:cstheme="minorHAnsi"/>
                <w:color w:val="231F20"/>
                <w:lang w:eastAsia="hr-HR"/>
              </w:rPr>
              <w:t>: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</w:t>
            </w:r>
            <w:r>
              <w:rPr>
                <w:rFonts w:cstheme="minorHAnsi"/>
                <w:color w:val="231F20"/>
                <w:lang w:eastAsia="hr-HR"/>
              </w:rPr>
              <w:t>N</w:t>
            </w:r>
            <w:r w:rsidRPr="00B65CA1">
              <w:rPr>
                <w:rFonts w:cstheme="minorHAnsi"/>
                <w:color w:val="231F20"/>
                <w:lang w:eastAsia="hr-HR"/>
              </w:rPr>
              <w:t>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12A3F421" w14:textId="77777777" w:rsidR="00253DF7" w:rsidRDefault="00253DF7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36D94053" w14:textId="77777777" w:rsidR="00253DF7" w:rsidRPr="00B65CA1" w:rsidRDefault="00253DF7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ostvaruje dobru komunikaciju s drugima, uspješno surađuje u različitim situacijama i spreman je zatražiti i ponuditi pomoć.</w:t>
            </w:r>
          </w:p>
          <w:p w14:paraId="47857BAE" w14:textId="77777777" w:rsidR="00253DF7" w:rsidRPr="00B65CA1" w:rsidRDefault="00253DF7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66E69FA5" w14:textId="77777777" w:rsidR="00253DF7" w:rsidRPr="00B65CA1" w:rsidRDefault="00253DF7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38876A30" w14:textId="77777777" w:rsidR="00253DF7" w:rsidRPr="00B65CA1" w:rsidRDefault="00253DF7" w:rsidP="007435A8">
            <w:pPr>
              <w:textAlignment w:val="baseline"/>
              <w:rPr>
                <w:rFonts w:ascii="Minion Pro Cond" w:hAnsi="Minion Pro Cond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OR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Uočava povezanost između prirode i zdravoga života.</w:t>
            </w:r>
          </w:p>
          <w:p w14:paraId="3E0186D5" w14:textId="77777777" w:rsidR="00253DF7" w:rsidRPr="00B65CA1" w:rsidRDefault="00253DF7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Style w:val="normaltextrun"/>
                <w:rFonts w:eastAsia="Calibri" w:cstheme="minorHAnsi"/>
                <w:b/>
                <w:color w:val="000000"/>
              </w:rPr>
              <w:t>IKT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uređajima.</w:t>
            </w:r>
          </w:p>
          <w:p w14:paraId="5B9E7996" w14:textId="77777777" w:rsidR="00253DF7" w:rsidRPr="00B65CA1" w:rsidRDefault="00253DF7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Prepoznaje igru kao važnu razvojnu i društvenu aktivnost.</w:t>
            </w:r>
          </w:p>
          <w:p w14:paraId="69AB5205" w14:textId="77777777" w:rsidR="00253DF7" w:rsidRPr="00B65CA1" w:rsidRDefault="00253DF7" w:rsidP="007435A8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231F20"/>
                <w:lang w:eastAsia="hr-HR"/>
              </w:rPr>
              <w:t xml:space="preserve">OŠ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LK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- A. 2. 1.</w:t>
            </w:r>
            <w:r w:rsidRPr="00492E2E">
              <w:rPr>
                <w:rFonts w:ascii="Minion Pro Cond" w:eastAsia="Times New Roman" w:hAnsi="Minion Pro Cond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C900CE">
              <w:rPr>
                <w:rFonts w:ascii="Calibri" w:eastAsia="Times New Roman" w:hAnsi="Calibri" w:cs="Calibri"/>
                <w:color w:val="231F20"/>
                <w:lang w:eastAsia="hr-HR"/>
              </w:rPr>
              <w:t>Učenik likovnim i vizualnim izražavanjem interpretira različite sadržaje.</w:t>
            </w:r>
          </w:p>
        </w:tc>
      </w:tr>
      <w:tr w:rsidR="00253DF7" w:rsidRPr="00B65CA1" w14:paraId="3CF76410" w14:textId="77777777" w:rsidTr="007435A8">
        <w:tc>
          <w:tcPr>
            <w:tcW w:w="4957" w:type="dxa"/>
            <w:gridSpan w:val="2"/>
          </w:tcPr>
          <w:p w14:paraId="19C7DCEF" w14:textId="77777777" w:rsidR="00253DF7" w:rsidRPr="00B65CA1" w:rsidRDefault="00253DF7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lastRenderedPageBreak/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</w:t>
            </w:r>
          </w:p>
          <w:p w14:paraId="237369DC" w14:textId="77777777" w:rsidR="00253DF7" w:rsidRPr="00B65CA1" w:rsidRDefault="00253DF7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 xml:space="preserve">Pjevajte </w:t>
            </w:r>
            <w:proofErr w:type="spellStart"/>
            <w:r w:rsidRPr="00B65CA1">
              <w:rPr>
                <w:rFonts w:cstheme="minorHAnsi"/>
                <w:bCs/>
                <w:shd w:val="clear" w:color="auto" w:fill="FFFFFF"/>
              </w:rPr>
              <w:t>novonaučenu</w:t>
            </w:r>
            <w:proofErr w:type="spellEnd"/>
            <w:r w:rsidRPr="00B65CA1">
              <w:rPr>
                <w:rFonts w:cstheme="minorHAnsi"/>
                <w:bCs/>
                <w:shd w:val="clear" w:color="auto" w:fill="FFFFFF"/>
              </w:rPr>
              <w:t xml:space="preserve"> pjesmu uz zvukove mora. Većina učenika neka pjeva pjesmu, a nekoliko njih iz svake skupine neka pjesmu prati zvukovima mora koje ste uvježbali.</w:t>
            </w:r>
          </w:p>
          <w:p w14:paraId="1DB0D6C5" w14:textId="77777777" w:rsidR="00253DF7" w:rsidRPr="00B65CA1" w:rsidRDefault="00253DF7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242BFFBC" w14:textId="77777777" w:rsidR="00253DF7" w:rsidRPr="00B65CA1" w:rsidRDefault="00253DF7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Slušanje</w:t>
            </w:r>
          </w:p>
          <w:p w14:paraId="44E5844F" w14:textId="77777777" w:rsidR="00EC648D" w:rsidRDefault="00253DF7" w:rsidP="007435A8">
            <w:pPr>
              <w:outlineLvl w:val="0"/>
            </w:pPr>
            <w:r w:rsidRPr="00B65CA1">
              <w:t xml:space="preserve">Slušajte skladbu </w:t>
            </w:r>
            <w:r w:rsidRPr="00B65CA1">
              <w:rPr>
                <w:i/>
              </w:rPr>
              <w:t>Akvarij</w:t>
            </w:r>
            <w:r w:rsidRPr="00B65CA1">
              <w:t xml:space="preserve"> </w:t>
            </w:r>
            <w:proofErr w:type="spellStart"/>
            <w:r w:rsidRPr="00B65CA1">
              <w:t>Camillea</w:t>
            </w:r>
            <w:proofErr w:type="spellEnd"/>
            <w:r w:rsidRPr="00B65CA1">
              <w:t xml:space="preserve"> Saint-</w:t>
            </w:r>
            <w:proofErr w:type="spellStart"/>
            <w:r w:rsidRPr="00B65CA1">
              <w:t>Saënsa</w:t>
            </w:r>
            <w:proofErr w:type="spellEnd"/>
            <w:r w:rsidRPr="00B65CA1">
              <w:t xml:space="preserve">. </w:t>
            </w:r>
          </w:p>
          <w:p w14:paraId="3411A25E" w14:textId="77777777" w:rsidR="00EC648D" w:rsidRPr="00A104F0" w:rsidRDefault="00EC648D" w:rsidP="00EC648D">
            <w:pPr>
              <w:rPr>
                <w:rFonts w:ascii="Calibri" w:hAnsi="Calibri" w:cs="Calibri"/>
              </w:rPr>
            </w:pPr>
            <w:hyperlink r:id="rId5" w:history="1">
              <w:r w:rsidRPr="00A104F0">
                <w:rPr>
                  <w:rStyle w:val="Hiperveza"/>
                  <w:rFonts w:ascii="Calibri" w:hAnsi="Calibri" w:cs="Calibri"/>
                </w:rPr>
                <w:t>https://www.youtube.com/watch?v=XCBDlC0N8Rc</w:t>
              </w:r>
            </w:hyperlink>
          </w:p>
          <w:p w14:paraId="5FBF6814" w14:textId="77777777" w:rsidR="00EC648D" w:rsidRDefault="00EC648D" w:rsidP="007435A8">
            <w:pPr>
              <w:outlineLvl w:val="0"/>
            </w:pPr>
          </w:p>
          <w:p w14:paraId="46FEA3AB" w14:textId="14857AA9" w:rsidR="00253DF7" w:rsidRPr="00B65CA1" w:rsidRDefault="00253DF7" w:rsidP="007435A8">
            <w:pPr>
              <w:outlineLvl w:val="0"/>
            </w:pPr>
            <w:r w:rsidRPr="00B65CA1">
              <w:t>Nakon prvoga slušanja odredite glazbala koja ju izvode. To je orkestar u kojem solističke dijelove izvodi glasovir uz karakteristične visoke tonove zvončića.</w:t>
            </w:r>
          </w:p>
          <w:p w14:paraId="31D99ED4" w14:textId="77777777" w:rsidR="00253DF7" w:rsidRDefault="00253DF7" w:rsidP="007435A8">
            <w:pPr>
              <w:outlineLvl w:val="0"/>
            </w:pPr>
            <w:r>
              <w:t>Pitanjima potaknite razgovor o skladbi:</w:t>
            </w:r>
            <w:r w:rsidRPr="00B65CA1">
              <w:t xml:space="preserve"> </w:t>
            </w:r>
            <w:r w:rsidRPr="00EA74AD">
              <w:rPr>
                <w:iCs/>
              </w:rPr>
              <w:t>Je li skladba glasna ili tiha?</w:t>
            </w:r>
            <w:r w:rsidRPr="00B65CA1">
              <w:t xml:space="preserve"> Kada zaključite kako je skladba tiha, oslobodite središnji dio razreda. Neka se učenici prepuste doživljaju i, slušajući skladbu, pokretima ruku ili cijeloga tijela dočaraju kretanje ribica u akvariju. Kako biste dobili na dinamici pokreta, učenike podijelite na dvije skupine od kojih će se j</w:t>
            </w:r>
            <w:r>
              <w:t>e</w:t>
            </w:r>
            <w:r w:rsidRPr="00B65CA1">
              <w:t>dna skupina kretati po površini (s visoko uzdignutim rukama)</w:t>
            </w:r>
            <w:r>
              <w:t>,</w:t>
            </w:r>
            <w:r w:rsidRPr="00B65CA1">
              <w:t xml:space="preserve"> a druga po dnu akvarija (u niskom stavu tijela s isto tako nisko položenim rukama). </w:t>
            </w:r>
          </w:p>
          <w:p w14:paraId="04AEFE57" w14:textId="77777777" w:rsidR="00253DF7" w:rsidRDefault="00253DF7" w:rsidP="007435A8">
            <w:pPr>
              <w:outlineLvl w:val="0"/>
            </w:pPr>
            <w:r>
              <w:t xml:space="preserve">Komunikacijska situacija: </w:t>
            </w:r>
            <w:r w:rsidRPr="00B65CA1">
              <w:t xml:space="preserve">Kakav je akvarij? Kakva je voda u njemu? Koliko ima ribica? Jesu li te ribice velike ili male, brze ili spore? </w:t>
            </w:r>
          </w:p>
          <w:p w14:paraId="4860027B" w14:textId="77777777" w:rsidR="00253DF7" w:rsidRPr="00B65CA1" w:rsidRDefault="00253DF7" w:rsidP="007435A8">
            <w:pPr>
              <w:outlineLvl w:val="0"/>
            </w:pPr>
            <w:r w:rsidRPr="00B65CA1">
              <w:t xml:space="preserve">Razgovarajte o glazbalu koje u toj skladbi svira vrlo visokim tonovima. To su zvončići koje u jednostavnijoj inačici možemo često pronaći među dječjim igračkama. </w:t>
            </w:r>
          </w:p>
          <w:p w14:paraId="264C0F56" w14:textId="77777777" w:rsidR="00253DF7" w:rsidRPr="00B65CA1" w:rsidRDefault="00253DF7" w:rsidP="007435A8">
            <w:pPr>
              <w:outlineLvl w:val="0"/>
            </w:pPr>
            <w:r w:rsidRPr="00B65CA1">
              <w:t>Svaki puta kada čuju zvončiće trebaju skočiti prema gore</w:t>
            </w:r>
            <w:r>
              <w:t xml:space="preserve"> </w:t>
            </w:r>
            <w:r w:rsidRPr="00B65CA1">
              <w:t>kao da svi žele iskočiti iz akvarija. Zvuk zvončića javlja se četiri puta pred kraj same skladbe samostalno.</w:t>
            </w:r>
          </w:p>
          <w:p w14:paraId="4EF52A3C" w14:textId="77777777" w:rsidR="00253DF7" w:rsidRPr="00B65CA1" w:rsidRDefault="00253DF7" w:rsidP="007435A8">
            <w:pPr>
              <w:outlineLvl w:val="0"/>
            </w:pPr>
          </w:p>
          <w:p w14:paraId="2E623164" w14:textId="77777777" w:rsidR="00253DF7" w:rsidRPr="00B65CA1" w:rsidRDefault="00253DF7" w:rsidP="007435A8">
            <w:pPr>
              <w:outlineLvl w:val="0"/>
              <w:rPr>
                <w:b/>
              </w:rPr>
            </w:pPr>
            <w:r>
              <w:rPr>
                <w:b/>
              </w:rPr>
              <w:t>4</w:t>
            </w:r>
            <w:r w:rsidRPr="00B65CA1">
              <w:rPr>
                <w:b/>
              </w:rPr>
              <w:t>. Obrada brojalice</w:t>
            </w:r>
          </w:p>
          <w:p w14:paraId="080D8AE5" w14:textId="77777777" w:rsidR="00253DF7" w:rsidRPr="00B65CA1" w:rsidRDefault="00253DF7" w:rsidP="007435A8">
            <w:pPr>
              <w:outlineLvl w:val="0"/>
              <w:rPr>
                <w:rFonts w:cstheme="minorHAnsi"/>
              </w:rPr>
            </w:pPr>
            <w:r w:rsidRPr="00B65CA1">
              <w:t xml:space="preserve">Učiteljica/učitelj razgovara s učenicima i prisjeća se kako su do sada obrađivali brojalice. Obradite je na način koji je učenike do sada najviše veselio. </w:t>
            </w:r>
            <w:r w:rsidRPr="00B65CA1">
              <w:lastRenderedPageBreak/>
              <w:t xml:space="preserve">Pljeskanjem, koračanjem, </w:t>
            </w:r>
            <w:proofErr w:type="spellStart"/>
            <w:r w:rsidRPr="00B65CA1">
              <w:t>razbrajanjem</w:t>
            </w:r>
            <w:proofErr w:type="spellEnd"/>
            <w:r w:rsidRPr="00B65CA1">
              <w:t xml:space="preserve">, u skupinama, paru, kanonu i sl. </w:t>
            </w:r>
          </w:p>
        </w:tc>
        <w:tc>
          <w:tcPr>
            <w:tcW w:w="4536" w:type="dxa"/>
            <w:gridSpan w:val="3"/>
            <w:vMerge/>
          </w:tcPr>
          <w:p w14:paraId="0A962433" w14:textId="77777777" w:rsidR="00253DF7" w:rsidRPr="00B65CA1" w:rsidRDefault="00253DF7" w:rsidP="007435A8">
            <w:pPr>
              <w:rPr>
                <w:rFonts w:cstheme="minorHAnsi"/>
              </w:rPr>
            </w:pPr>
          </w:p>
        </w:tc>
      </w:tr>
    </w:tbl>
    <w:p w14:paraId="5C453F14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DF7"/>
    <w:rsid w:val="00253DF7"/>
    <w:rsid w:val="006C70CE"/>
    <w:rsid w:val="00EC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02989"/>
  <w15:chartTrackingRefBased/>
  <w15:docId w15:val="{8C0AB119-8D9D-4993-98C5-AFD1E4EA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3DF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253D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253DF7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Zadanifontodlomka"/>
    <w:rsid w:val="00253DF7"/>
  </w:style>
  <w:style w:type="paragraph" w:customStyle="1" w:styleId="Pa31">
    <w:name w:val="Pa3+1"/>
    <w:basedOn w:val="Normal"/>
    <w:next w:val="Normal"/>
    <w:rsid w:val="00253DF7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253DF7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EC64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XCBDlC0N8R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990</Words>
  <Characters>5644</Characters>
  <Application>Microsoft Office Word</Application>
  <DocSecurity>0</DocSecurity>
  <Lines>47</Lines>
  <Paragraphs>13</Paragraphs>
  <ScaleCrop>false</ScaleCrop>
  <Company/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2020-08-26T18:49:00Z</dcterms:created>
  <dcterms:modified xsi:type="dcterms:W3CDTF">2020-08-26T19:20:00Z</dcterms:modified>
</cp:coreProperties>
</file>