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882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27A7390E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382FEB">
              <w:rPr>
                <w:sz w:val="20"/>
                <w:szCs w:val="20"/>
              </w:rPr>
              <w:t xml:space="preserve"> 2.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A1B316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F7A6F">
              <w:rPr>
                <w:sz w:val="20"/>
                <w:szCs w:val="20"/>
              </w:rPr>
              <w:t xml:space="preserve"> 10</w:t>
            </w:r>
            <w:r w:rsidR="00891B5A">
              <w:rPr>
                <w:sz w:val="20"/>
                <w:szCs w:val="20"/>
              </w:rPr>
              <w:t>1</w:t>
            </w:r>
            <w:r w:rsidR="00EF7A6F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5BD48C0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PRIPRAVA ZA IZVOĐENJE NASTAVNOGA SATA 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>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71DA479" w:rsidR="00E43550" w:rsidRPr="00401DB2" w:rsidRDefault="00E43550" w:rsidP="00401DB2">
            <w:pPr>
              <w:rPr>
                <w:rFonts w:cstheme="minorHAnsi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401DB2" w:rsidRPr="00E944C9">
              <w:rPr>
                <w:rFonts w:cstheme="minorHAnsi"/>
                <w:sz w:val="20"/>
                <w:szCs w:val="20"/>
              </w:rPr>
              <w:t xml:space="preserve">Elementarna igra 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E944C9" w:rsidRDefault="00E43550" w:rsidP="008B00CE">
            <w:pPr>
              <w:rPr>
                <w:rFonts w:cstheme="minorHAnsi"/>
                <w:sz w:val="20"/>
                <w:szCs w:val="20"/>
              </w:rPr>
            </w:pPr>
            <w:r w:rsidRPr="00E944C9">
              <w:rPr>
                <w:rFonts w:cstheme="minorHAnsi"/>
                <w:sz w:val="20"/>
                <w:szCs w:val="20"/>
              </w:rPr>
              <w:t>CILJ SATA:</w:t>
            </w:r>
            <w:r w:rsidR="0084239C" w:rsidRPr="00E944C9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E12F098" w14:textId="77777777" w:rsidR="00E944C9" w:rsidRPr="00E944C9" w:rsidRDefault="00E944C9" w:rsidP="00E944C9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E944C9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17A4DBED" w14:textId="227F3CFD" w:rsidR="00E944C9" w:rsidRPr="00E944C9" w:rsidRDefault="00E944C9" w:rsidP="00E944C9">
            <w:pPr>
              <w:rPr>
                <w:rFonts w:cstheme="minorHAnsi"/>
                <w:b/>
                <w:sz w:val="20"/>
                <w:szCs w:val="20"/>
              </w:rPr>
            </w:pPr>
            <w:r w:rsidRPr="00E944C9">
              <w:rPr>
                <w:rFonts w:cstheme="minorHAnsi"/>
                <w:b/>
                <w:sz w:val="20"/>
                <w:szCs w:val="20"/>
              </w:rPr>
              <w:t>Usavršavanje motoričkog</w:t>
            </w:r>
            <w:r w:rsidR="00F012EC">
              <w:rPr>
                <w:rFonts w:cstheme="minorHAnsi"/>
                <w:b/>
                <w:sz w:val="20"/>
                <w:szCs w:val="20"/>
              </w:rPr>
              <w:t>a</w:t>
            </w:r>
            <w:r w:rsidRPr="00E944C9">
              <w:rPr>
                <w:rFonts w:cstheme="minorHAnsi"/>
                <w:b/>
                <w:sz w:val="20"/>
                <w:szCs w:val="20"/>
              </w:rPr>
              <w:t xml:space="preserve"> znanja</w:t>
            </w:r>
          </w:p>
          <w:p w14:paraId="107A0174" w14:textId="77777777" w:rsidR="00E43550" w:rsidRPr="00E944C9" w:rsidRDefault="00E944C9" w:rsidP="00E944C9">
            <w:pPr>
              <w:rPr>
                <w:rFonts w:cstheme="minorHAnsi"/>
                <w:sz w:val="20"/>
                <w:szCs w:val="20"/>
              </w:rPr>
            </w:pPr>
            <w:r w:rsidRPr="00E944C9">
              <w:rPr>
                <w:rFonts w:cstheme="minorHAnsi"/>
                <w:sz w:val="20"/>
                <w:szCs w:val="20"/>
              </w:rPr>
              <w:t xml:space="preserve">Elementarna igra </w:t>
            </w:r>
          </w:p>
          <w:p w14:paraId="27E5DE71" w14:textId="77777777" w:rsidR="00E944C9" w:rsidRPr="00401DB2" w:rsidRDefault="00E944C9" w:rsidP="00E944C9">
            <w:pPr>
              <w:rPr>
                <w:rFonts w:cstheme="minorHAnsi"/>
                <w:b/>
                <w:color w:val="0070C0"/>
                <w:sz w:val="20"/>
                <w:szCs w:val="20"/>
              </w:rPr>
            </w:pPr>
            <w:r w:rsidRPr="00401DB2">
              <w:rPr>
                <w:rFonts w:cstheme="minorHAnsi"/>
                <w:b/>
                <w:color w:val="0070C0"/>
                <w:sz w:val="20"/>
                <w:szCs w:val="20"/>
              </w:rPr>
              <w:t>Predmetno područje D</w:t>
            </w:r>
          </w:p>
          <w:p w14:paraId="66E620C1" w14:textId="7FE69A06" w:rsidR="00E944C9" w:rsidRPr="00E944C9" w:rsidRDefault="00E944C9" w:rsidP="00E944C9">
            <w:pPr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 w:rsidRPr="00E944C9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Pravila igara i suradnja sa suigračima.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2A700AA" w14:textId="2700F36C" w:rsidR="00E944C9" w:rsidRPr="00E944C9" w:rsidRDefault="00E43550" w:rsidP="00745426">
            <w:pPr>
              <w:rPr>
                <w:rFonts w:cstheme="minorHAnsi"/>
                <w:sz w:val="20"/>
                <w:szCs w:val="20"/>
              </w:rPr>
            </w:pPr>
            <w:r w:rsidRPr="00E944C9">
              <w:rPr>
                <w:rFonts w:cstheme="minorHAnsi"/>
                <w:sz w:val="20"/>
                <w:szCs w:val="20"/>
              </w:rPr>
              <w:t>ISHODI UČENJA:</w:t>
            </w:r>
            <w:r w:rsidR="00745426">
              <w:rPr>
                <w:rFonts w:cstheme="minorHAnsi"/>
                <w:sz w:val="20"/>
                <w:szCs w:val="20"/>
              </w:rPr>
              <w:t xml:space="preserve"> </w:t>
            </w:r>
            <w:r w:rsidR="00E944C9" w:rsidRPr="00E944C9">
              <w:rPr>
                <w:rFonts w:cstheme="minorHAnsi"/>
                <w:sz w:val="20"/>
                <w:szCs w:val="20"/>
              </w:rPr>
              <w:t>Učenik vježba motoričku aktivnost.</w:t>
            </w:r>
            <w:r w:rsidR="00745426">
              <w:rPr>
                <w:rFonts w:cstheme="minorHAnsi"/>
                <w:sz w:val="20"/>
                <w:szCs w:val="20"/>
              </w:rPr>
              <w:t xml:space="preserve"> </w:t>
            </w:r>
            <w:r w:rsidR="00745426">
              <w:t>OŠ TZK A.2.1.</w:t>
            </w:r>
          </w:p>
          <w:p w14:paraId="35AE35AE" w14:textId="59F85AA3" w:rsidR="00E944C9" w:rsidRPr="00E944C9" w:rsidRDefault="00E944C9" w:rsidP="00E944C9">
            <w:pPr>
              <w:spacing w:after="48"/>
              <w:textAlignment w:val="baseline"/>
              <w:rPr>
                <w:rFonts w:cstheme="minorHAnsi"/>
                <w:sz w:val="20"/>
                <w:szCs w:val="20"/>
              </w:rPr>
            </w:pPr>
            <w:r w:rsidRPr="00E944C9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Prihvaća pravila igara i surađuje sa suigračima.</w:t>
            </w:r>
            <w:r w:rsidR="00745426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BE41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OŠ TZK </w:t>
            </w:r>
            <w:r w:rsidR="00745426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D.2.3.</w:t>
            </w:r>
          </w:p>
          <w:p w14:paraId="76F7ADAD" w14:textId="6900F176" w:rsidR="009618D3" w:rsidRPr="00E944C9" w:rsidRDefault="00E944C9" w:rsidP="00E944C9">
            <w:pPr>
              <w:spacing w:after="48"/>
              <w:textAlignment w:val="baseline"/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 w:rsidRPr="00E944C9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Izvodi elementarne igre koje razvijaju samopoštovanje i samopouzdanje.</w:t>
            </w:r>
            <w:r w:rsidR="00745426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BE414C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 xml:space="preserve">OŠ TZK </w:t>
            </w:r>
            <w:r w:rsidR="00745426"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  <w:t>D.2.4.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99CCFAF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9202AE">
              <w:rPr>
                <w:sz w:val="20"/>
                <w:szCs w:val="20"/>
              </w:rPr>
              <w:t xml:space="preserve"> </w:t>
            </w:r>
            <w:r w:rsidR="00F012EC">
              <w:rPr>
                <w:sz w:val="20"/>
                <w:szCs w:val="20"/>
              </w:rPr>
              <w:t>CD-</w:t>
            </w:r>
            <w:proofErr w:type="spellStart"/>
            <w:r w:rsidR="009202AE" w:rsidRPr="00745426">
              <w:rPr>
                <w:i/>
                <w:iCs/>
                <w:sz w:val="20"/>
                <w:szCs w:val="20"/>
              </w:rPr>
              <w:t>player</w:t>
            </w:r>
            <w:proofErr w:type="spellEnd"/>
            <w:r w:rsidR="009202AE">
              <w:rPr>
                <w:sz w:val="20"/>
                <w:szCs w:val="20"/>
              </w:rPr>
              <w:t xml:space="preserve">, </w:t>
            </w:r>
            <w:r w:rsidR="00401DB2">
              <w:rPr>
                <w:sz w:val="20"/>
                <w:szCs w:val="20"/>
              </w:rPr>
              <w:t>obruči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Default="002830F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82BA4" w:rsidRPr="00C208B7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272433" w:rsidRDefault="00382BA4" w:rsidP="00C208B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C208B7" w:rsidRDefault="00382BA4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AKTIVNOSTI UČENIKA</w:t>
            </w:r>
          </w:p>
        </w:tc>
      </w:tr>
      <w:tr w:rsidR="00382BA4" w:rsidRPr="00C208B7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Default="00382BA4" w:rsidP="00636F6B">
            <w:pPr>
              <w:rPr>
                <w:b/>
                <w:sz w:val="18"/>
                <w:szCs w:val="18"/>
              </w:rPr>
            </w:pPr>
          </w:p>
          <w:p w14:paraId="17B9792E" w14:textId="77777777" w:rsidR="00382BA4" w:rsidRDefault="00382BA4" w:rsidP="00636F6B">
            <w:pPr>
              <w:rPr>
                <w:b/>
                <w:sz w:val="18"/>
                <w:szCs w:val="18"/>
              </w:rPr>
            </w:pPr>
          </w:p>
          <w:p w14:paraId="798816B4" w14:textId="5AD77BE9" w:rsidR="00382BA4" w:rsidRPr="00382BA4" w:rsidRDefault="00382BA4" w:rsidP="00636F6B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4EC712B6" w14:textId="5B0A9AFC" w:rsidR="00EF7A6F" w:rsidRDefault="00EF7A6F" w:rsidP="00EF7A6F">
            <w:r>
              <w:t>GUSJENICE</w:t>
            </w:r>
          </w:p>
          <w:p w14:paraId="5ED48C90" w14:textId="7E01465C" w:rsidR="00382BA4" w:rsidRPr="002D22EB" w:rsidRDefault="00EF7A6F" w:rsidP="00074778">
            <w:r>
              <w:t>Učenici su u dvije kolone iza crte, a ruke drže na ramenima učenika ispred sebe. Zadatak je na dogovoreni znak što prije i u c</w:t>
            </w:r>
            <w:r w:rsidR="00EA6C32">
              <w:t>i</w:t>
            </w:r>
            <w:r>
              <w:t>jelosti prijeći zadani prostor (pravocrtno, u slalomu između čunjeva, s preprekama).</w:t>
            </w:r>
          </w:p>
        </w:tc>
      </w:tr>
      <w:tr w:rsidR="007B5C35" w:rsidRPr="00C208B7" w14:paraId="6A61B6AA" w14:textId="77777777" w:rsidTr="00CA6C26">
        <w:trPr>
          <w:trHeight w:val="850"/>
        </w:trPr>
        <w:tc>
          <w:tcPr>
            <w:tcW w:w="1634" w:type="dxa"/>
          </w:tcPr>
          <w:p w14:paraId="331E34ED" w14:textId="77777777" w:rsidR="007B5C35" w:rsidRDefault="007B5C35" w:rsidP="007B5C35">
            <w:pPr>
              <w:rPr>
                <w:b/>
                <w:sz w:val="18"/>
                <w:szCs w:val="18"/>
              </w:rPr>
            </w:pPr>
          </w:p>
          <w:p w14:paraId="61726AF9" w14:textId="77777777" w:rsidR="007B5C35" w:rsidRDefault="007B5C35" w:rsidP="007B5C35">
            <w:pPr>
              <w:rPr>
                <w:b/>
                <w:sz w:val="18"/>
                <w:szCs w:val="18"/>
              </w:rPr>
            </w:pPr>
          </w:p>
          <w:p w14:paraId="552C1F7A" w14:textId="28E12C6F" w:rsidR="007B5C35" w:rsidRDefault="007B5C35" w:rsidP="007B5C3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4825BA2B" w14:textId="77777777" w:rsidR="00F012EC" w:rsidRPr="007B5C35" w:rsidRDefault="00F012EC" w:rsidP="00F012EC">
            <w:pPr>
              <w:rPr>
                <w:bCs/>
              </w:rPr>
            </w:pPr>
            <w:r w:rsidRPr="007B5C35">
              <w:rPr>
                <w:bCs/>
              </w:rPr>
              <w:t xml:space="preserve">OPĆE PRIPREMNE VJEŽBE BEZ </w:t>
            </w:r>
            <w:r>
              <w:rPr>
                <w:bCs/>
              </w:rPr>
              <w:t>POMAGALA</w:t>
            </w:r>
            <w:r w:rsidRPr="007B5C35">
              <w:rPr>
                <w:bCs/>
              </w:rPr>
              <w:t xml:space="preserve"> UZ GLAZBENU PRATNJU</w:t>
            </w:r>
          </w:p>
          <w:p w14:paraId="6A63ED0B" w14:textId="77777777" w:rsidR="00F012EC" w:rsidRPr="00F1703F" w:rsidRDefault="00F012EC" w:rsidP="00F012EC">
            <w:pPr>
              <w:rPr>
                <w:b/>
              </w:rPr>
            </w:pPr>
          </w:p>
          <w:p w14:paraId="1689AEA4" w14:textId="77777777" w:rsidR="00F012EC" w:rsidRPr="00F1703F" w:rsidRDefault="00F012EC" w:rsidP="00F012EC">
            <w:pPr>
              <w:pStyle w:val="ListParagraph"/>
              <w:numPr>
                <w:ilvl w:val="0"/>
                <w:numId w:val="7"/>
              </w:numPr>
              <w:ind w:left="720"/>
            </w:pPr>
            <w:r>
              <w:t xml:space="preserve">VJEŽBA – </w:t>
            </w:r>
            <w:r w:rsidRPr="00F1703F">
              <w:t xml:space="preserve">Stav spojeni, </w:t>
            </w:r>
            <w:proofErr w:type="spellStart"/>
            <w:r w:rsidRPr="00F1703F">
              <w:t>predručiti</w:t>
            </w:r>
            <w:proofErr w:type="spellEnd"/>
            <w:r w:rsidRPr="00F1703F">
              <w:t xml:space="preserve">. </w:t>
            </w:r>
            <w:r>
              <w:t>Učenici visoko podižu</w:t>
            </w:r>
            <w:r w:rsidRPr="00F1703F">
              <w:t xml:space="preserve"> desnu nogu i istodobno pljesnu dlanovima ispod podignute noge. Zatim to izv</w:t>
            </w:r>
            <w:r>
              <w:t xml:space="preserve">ode </w:t>
            </w:r>
            <w:r w:rsidRPr="00F1703F">
              <w:t xml:space="preserve">lijevom nogom. </w:t>
            </w:r>
          </w:p>
          <w:p w14:paraId="3AFD95C8" w14:textId="77777777" w:rsidR="00F012EC" w:rsidRPr="00F1703F" w:rsidRDefault="00F012EC" w:rsidP="00F012EC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F1703F">
              <w:t xml:space="preserve">VJEŽBA </w:t>
            </w:r>
            <w:r>
              <w:t xml:space="preserve">– </w:t>
            </w: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okreću</w:t>
            </w:r>
            <w:r w:rsidRPr="00F1703F">
              <w:t xml:space="preserve"> glavu udesno i ulijevo. </w:t>
            </w:r>
          </w:p>
          <w:p w14:paraId="2D67E915" w14:textId="77777777" w:rsidR="00F012EC" w:rsidRPr="00F1703F" w:rsidRDefault="00F012EC" w:rsidP="00F012EC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F1703F">
              <w:t xml:space="preserve">VJEŽBA </w:t>
            </w:r>
            <w:r>
              <w:t xml:space="preserve">– </w:t>
            </w:r>
            <w:r w:rsidRPr="00F1703F">
              <w:t xml:space="preserve">Stav </w:t>
            </w:r>
            <w:proofErr w:type="spellStart"/>
            <w:r w:rsidRPr="00F1703F">
              <w:t>raskoračni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predručiti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o</w:t>
            </w:r>
            <w:r w:rsidRPr="00F1703F">
              <w:t>pruženim rukama zamah</w:t>
            </w:r>
            <w:r>
              <w:t xml:space="preserve">uju </w:t>
            </w:r>
            <w:r w:rsidRPr="00F1703F">
              <w:t>naprijed-natrag i u zadanom</w:t>
            </w:r>
            <w:r>
              <w:t>e</w:t>
            </w:r>
            <w:r w:rsidRPr="00F1703F">
              <w:t xml:space="preserve"> ritmu plje</w:t>
            </w:r>
            <w:r>
              <w:t>šću</w:t>
            </w:r>
            <w:r w:rsidRPr="00F1703F">
              <w:t xml:space="preserve"> ispred tijela. </w:t>
            </w:r>
          </w:p>
          <w:p w14:paraId="066592CA" w14:textId="77777777" w:rsidR="00F012EC" w:rsidRPr="00F1703F" w:rsidRDefault="00F012EC" w:rsidP="00F012EC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F1703F">
              <w:t>VJEŽBA</w:t>
            </w:r>
            <w:r>
              <w:t xml:space="preserve"> – </w:t>
            </w:r>
            <w:r w:rsidRPr="00F1703F">
              <w:t>U turskom</w:t>
            </w:r>
            <w:r>
              <w:t>e</w:t>
            </w:r>
            <w:r w:rsidRPr="00F1703F">
              <w:t xml:space="preserve"> </w:t>
            </w:r>
            <w:proofErr w:type="spellStart"/>
            <w:r w:rsidRPr="00F1703F">
              <w:t>sjedu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 o</w:t>
            </w:r>
            <w:r w:rsidRPr="00F1703F">
              <w:t xml:space="preserve">tklon trupa ulijevo pa udesno. </w:t>
            </w:r>
          </w:p>
          <w:p w14:paraId="01BCFFCA" w14:textId="77777777" w:rsidR="00F012EC" w:rsidRPr="00F1703F" w:rsidRDefault="00F012EC" w:rsidP="00F012EC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F1703F">
              <w:t>VJEŽBA</w:t>
            </w:r>
            <w:r>
              <w:t xml:space="preserve"> – </w:t>
            </w:r>
            <w:r w:rsidRPr="00F1703F">
              <w:t xml:space="preserve">Ležeći položaj na leđima, </w:t>
            </w:r>
            <w:proofErr w:type="spellStart"/>
            <w:r w:rsidRPr="009137D6">
              <w:t>uzručiti</w:t>
            </w:r>
            <w:proofErr w:type="spellEnd"/>
            <w:r w:rsidRPr="00F1703F">
              <w:t xml:space="preserve">. </w:t>
            </w:r>
            <w:r>
              <w:t>Učenici podižu</w:t>
            </w:r>
            <w:r w:rsidRPr="00F1703F">
              <w:t xml:space="preserve"> ruke s tla i izvod</w:t>
            </w:r>
            <w:r>
              <w:t xml:space="preserve">e </w:t>
            </w:r>
            <w:r w:rsidRPr="00F1703F">
              <w:t>pokrete kao pri sviranju glasovira. (Sviranje na glasoviru)</w:t>
            </w:r>
          </w:p>
          <w:p w14:paraId="4AADA8E5" w14:textId="77777777" w:rsidR="00F012EC" w:rsidRDefault="00F012EC" w:rsidP="00F012EC">
            <w:pPr>
              <w:pStyle w:val="ListParagraph"/>
              <w:numPr>
                <w:ilvl w:val="0"/>
                <w:numId w:val="7"/>
              </w:numPr>
              <w:ind w:left="720"/>
            </w:pPr>
            <w:r>
              <w:t xml:space="preserve">VJEŽBA – </w:t>
            </w: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„na mjestu“ u zadanom</w:t>
            </w:r>
            <w:r>
              <w:t>e</w:t>
            </w:r>
            <w:r w:rsidRPr="00F1703F">
              <w:t xml:space="preserve"> ritmu.</w:t>
            </w:r>
          </w:p>
          <w:p w14:paraId="18C07C9D" w14:textId="1FA8CC4C" w:rsidR="007B5C35" w:rsidRPr="002D22EB" w:rsidRDefault="00F012EC" w:rsidP="00693447">
            <w:pPr>
              <w:ind w:left="720"/>
            </w:pPr>
            <w:r w:rsidRPr="00F1703F">
              <w:t>V</w:t>
            </w:r>
            <w:r>
              <w:t xml:space="preserve">JEŽBA – </w:t>
            </w: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i</w:t>
            </w:r>
            <w:r w:rsidRPr="00F1703F">
              <w:t>zvod</w:t>
            </w:r>
            <w:r>
              <w:t>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na mjestu oponašajući skakanje lopte, izmjenično: nisko-visoko.</w:t>
            </w:r>
          </w:p>
        </w:tc>
      </w:tr>
      <w:tr w:rsidR="00382BA4" w:rsidRPr="00C208B7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Default="00382BA4" w:rsidP="00636F6B">
            <w:pPr>
              <w:rPr>
                <w:b/>
                <w:sz w:val="18"/>
                <w:szCs w:val="18"/>
              </w:rPr>
            </w:pPr>
          </w:p>
          <w:p w14:paraId="38D01DEA" w14:textId="77777777" w:rsidR="00382BA4" w:rsidRDefault="00382BA4" w:rsidP="00636F6B">
            <w:pPr>
              <w:rPr>
                <w:b/>
                <w:sz w:val="18"/>
                <w:szCs w:val="18"/>
              </w:rPr>
            </w:pPr>
          </w:p>
          <w:p w14:paraId="41A985AE" w14:textId="697140CE" w:rsidR="00382BA4" w:rsidRDefault="00382BA4" w:rsidP="00636F6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7FA20F4D" w14:textId="77777777" w:rsidR="00382BA4" w:rsidRDefault="00040DF1" w:rsidP="003B1534">
            <w:pPr>
              <w:pStyle w:val="NoSpacing"/>
            </w:pPr>
            <w:r>
              <w:t>AKTIVNOST:</w:t>
            </w:r>
          </w:p>
          <w:p w14:paraId="134E05C1" w14:textId="29B240CC" w:rsidR="005318B9" w:rsidRDefault="005318B9" w:rsidP="005318B9">
            <w:pPr>
              <w:pStyle w:val="NoSpacing"/>
            </w:pPr>
            <w:r>
              <w:t xml:space="preserve">Elementarna igra s obručima </w:t>
            </w:r>
            <w:r w:rsidR="00F012EC">
              <w:t xml:space="preserve">– </w:t>
            </w:r>
            <w:r>
              <w:t xml:space="preserve">GNIJEZDO </w:t>
            </w:r>
          </w:p>
          <w:p w14:paraId="1F7A2999" w14:textId="5D40C022" w:rsidR="00040DF1" w:rsidRPr="002D22EB" w:rsidRDefault="005318B9" w:rsidP="005318B9">
            <w:pPr>
              <w:pStyle w:val="NoSpacing"/>
            </w:pPr>
            <w:r>
              <w:t>U dvorani su položeni obruči između kojih se učenici slobodno kreću. Svaki obruč predstavlja „gnijezdo” u koje mogu stati samo dva učenika (dvije laste). Na početku igre postavlja se jedno gnijezdo (obruč) manje od parova učenika. Na dogovoreni znak (glas, pljesak, uključivanje glazbe) učenici</w:t>
            </w:r>
            <w:r w:rsidR="00F012EC">
              <w:t xml:space="preserve"> </w:t>
            </w:r>
            <w:r>
              <w:t xml:space="preserve">laste lete oko gnijezda. Kada glazba utihne, učenici moraju naći svoje gnijezdo. Par lasta koji nije uspio pronaći svoje gnijezdo mora napustiti igru, a za sljedeću igru broj </w:t>
            </w:r>
            <w:r>
              <w:lastRenderedPageBreak/>
              <w:t>gnijezda ponovo se smanjuje za jedan. Pobjeđuje par koji je ostao posljednji u jednom</w:t>
            </w:r>
            <w:r w:rsidR="00F012EC">
              <w:t>e</w:t>
            </w:r>
            <w:r>
              <w:t xml:space="preserve"> gnijezdu.</w:t>
            </w:r>
          </w:p>
        </w:tc>
      </w:tr>
      <w:tr w:rsidR="00382BA4" w:rsidRPr="00C208B7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Default="00382BA4" w:rsidP="00636F6B">
            <w:pPr>
              <w:rPr>
                <w:b/>
                <w:sz w:val="18"/>
                <w:szCs w:val="18"/>
              </w:rPr>
            </w:pPr>
          </w:p>
          <w:p w14:paraId="7C7D195D" w14:textId="77777777" w:rsidR="00382BA4" w:rsidRDefault="00382BA4" w:rsidP="00382BA4">
            <w:pPr>
              <w:jc w:val="center"/>
              <w:rPr>
                <w:b/>
                <w:sz w:val="18"/>
                <w:szCs w:val="18"/>
              </w:rPr>
            </w:pPr>
          </w:p>
          <w:p w14:paraId="0BE19996" w14:textId="2318763F" w:rsidR="00382BA4" w:rsidRPr="00382BA4" w:rsidRDefault="00382BA4" w:rsidP="00382BA4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01C00D29" w14:textId="77777777" w:rsidR="00401DB2" w:rsidRPr="005137E8" w:rsidRDefault="00401DB2" w:rsidP="00401DB2">
            <w:pPr>
              <w:rPr>
                <w:bCs/>
              </w:rPr>
            </w:pPr>
            <w:r w:rsidRPr="005137E8">
              <w:rPr>
                <w:bCs/>
              </w:rPr>
              <w:t>MOMČADSKA IGRA – GRANIČAR</w:t>
            </w:r>
          </w:p>
          <w:p w14:paraId="2B28ADA0" w14:textId="77777777" w:rsidR="00F012EC" w:rsidRDefault="00F012EC" w:rsidP="00F012EC">
            <w:r w:rsidRPr="00380DBE">
              <w:t>Učenici su podijeljeni u dvije jednake ekipe i svaka se nalazi u svo</w:t>
            </w:r>
            <w:r>
              <w:t>je</w:t>
            </w:r>
            <w:r w:rsidRPr="00380DBE">
              <w:t>m</w:t>
            </w:r>
            <w:r>
              <w:t>u</w:t>
            </w:r>
            <w:r w:rsidRPr="00380DBE">
              <w:t xml:space="preserve"> polju. Svaka ekipa ima svo</w:t>
            </w:r>
            <w:r>
              <w:t>je</w:t>
            </w:r>
            <w:r w:rsidRPr="00380DBE">
              <w:t>g</w:t>
            </w:r>
            <w:r>
              <w:t>a</w:t>
            </w:r>
            <w:r w:rsidRPr="00380DBE">
              <w:t xml:space="preserve"> kapetana koji se nalazi iza protivničkog</w:t>
            </w:r>
            <w:r>
              <w:t>a</w:t>
            </w:r>
            <w:r w:rsidRPr="00380DBE">
              <w:t xml:space="preserve"> polja. Igra počinje tako da jedan od igrača ekipe koja ima loptu gađa igrače protivničke ekipe. Igrač kojega lopta pogodi izlazi iz polja, stane uz uzdužnu crtu protivničkog</w:t>
            </w:r>
            <w:r>
              <w:t>a</w:t>
            </w:r>
            <w:r w:rsidRPr="00380DBE">
              <w:t xml:space="preserve"> polja i dalje sudjeluje u igri. Ako lopta pogodi igrača, a on je uspije zadržati, dakle, ako lopta ne padne na tlo, </w:t>
            </w:r>
            <w:r>
              <w:t xml:space="preserve">igrač </w:t>
            </w:r>
            <w:r w:rsidRPr="00380DBE">
              <w:t>ostaje u polju, odnosno u igri i nastavlja gađati igrače protivničke ekipe. Igra se sve dok nisu pogođeni svi igrači jedne ekipe. Nakon toga, u polje ulazi njihov kapetan koji dobiva loptu i nastavlja s igrom. Kad je i kapetan pogođen, ekipa gubi igru.</w:t>
            </w:r>
          </w:p>
          <w:p w14:paraId="68CDBD6C" w14:textId="29144ACA" w:rsidR="002D22EB" w:rsidRPr="002D22EB" w:rsidRDefault="002D22EB" w:rsidP="009202AE"/>
        </w:tc>
      </w:tr>
      <w:tr w:rsidR="00382BA4" w:rsidRPr="00C208B7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Default="00382BA4" w:rsidP="00636F6B">
            <w:pPr>
              <w:rPr>
                <w:b/>
                <w:sz w:val="18"/>
                <w:szCs w:val="18"/>
              </w:rPr>
            </w:pPr>
          </w:p>
          <w:p w14:paraId="219F57CC" w14:textId="77777777" w:rsidR="00382BA4" w:rsidRDefault="00382BA4" w:rsidP="00636F6B">
            <w:pPr>
              <w:rPr>
                <w:b/>
                <w:sz w:val="18"/>
                <w:szCs w:val="18"/>
              </w:rPr>
            </w:pPr>
          </w:p>
          <w:p w14:paraId="0E0DFD45" w14:textId="0E141F27" w:rsidR="00382BA4" w:rsidRDefault="00382BA4" w:rsidP="00636F6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2EFF0DC" w14:textId="77777777" w:rsidR="00382BA4" w:rsidRDefault="005E65E7" w:rsidP="00074778">
            <w:r>
              <w:t>RAZGOVOR O SATU</w:t>
            </w:r>
          </w:p>
          <w:p w14:paraId="45E7BB60" w14:textId="77777777" w:rsidR="005E65E7" w:rsidRDefault="005E65E7" w:rsidP="00074778"/>
          <w:p w14:paraId="49B9E651" w14:textId="1E3F55C2" w:rsidR="005E65E7" w:rsidRPr="002D22EB" w:rsidRDefault="005E65E7" w:rsidP="00074778">
            <w:r>
              <w:t xml:space="preserve">VREDNOVANJE KAO UČENJE: </w:t>
            </w:r>
            <w:r w:rsidR="00E459F0">
              <w:t>PALČEVI</w:t>
            </w:r>
          </w:p>
        </w:tc>
      </w:tr>
      <w:tr w:rsidR="00382BA4" w:rsidRPr="00C208B7" w14:paraId="324565E3" w14:textId="77777777" w:rsidTr="00382BA4">
        <w:tc>
          <w:tcPr>
            <w:tcW w:w="9039" w:type="dxa"/>
            <w:gridSpan w:val="4"/>
          </w:tcPr>
          <w:p w14:paraId="73256A09" w14:textId="3285B969" w:rsidR="00382BA4" w:rsidRPr="00C208B7" w:rsidRDefault="00382BA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PLAN </w:t>
            </w:r>
            <w:r>
              <w:rPr>
                <w:sz w:val="18"/>
                <w:szCs w:val="18"/>
              </w:rPr>
              <w:t>DVORANE</w:t>
            </w:r>
            <w:r w:rsidRPr="00C208B7">
              <w:rPr>
                <w:sz w:val="18"/>
                <w:szCs w:val="18"/>
              </w:rPr>
              <w:t>:</w:t>
            </w:r>
          </w:p>
          <w:p w14:paraId="55FB87ED" w14:textId="3604D9D4" w:rsidR="00382BA4" w:rsidRDefault="00382BA4" w:rsidP="00636F6B">
            <w:pPr>
              <w:rPr>
                <w:sz w:val="18"/>
                <w:szCs w:val="18"/>
              </w:rPr>
            </w:pPr>
          </w:p>
          <w:p w14:paraId="793C26C3" w14:textId="77777777" w:rsidR="00382BA4" w:rsidRDefault="00382BA4" w:rsidP="00636F6B">
            <w:pPr>
              <w:rPr>
                <w:sz w:val="18"/>
                <w:szCs w:val="18"/>
              </w:rPr>
            </w:pPr>
          </w:p>
          <w:p w14:paraId="0D3E8372" w14:textId="71293C4F" w:rsidR="00382BA4" w:rsidRPr="00C208B7" w:rsidRDefault="00382BA4" w:rsidP="00636F6B">
            <w:pPr>
              <w:rPr>
                <w:sz w:val="18"/>
                <w:szCs w:val="18"/>
              </w:rPr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93010"/>
    <w:multiLevelType w:val="hybridMultilevel"/>
    <w:tmpl w:val="A2B6C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00AD9"/>
    <w:multiLevelType w:val="hybridMultilevel"/>
    <w:tmpl w:val="579EDA4A"/>
    <w:lvl w:ilvl="0" w:tplc="92A075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A7FD2"/>
    <w:multiLevelType w:val="hybridMultilevel"/>
    <w:tmpl w:val="B288BAD4"/>
    <w:lvl w:ilvl="0" w:tplc="92A075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20BE"/>
    <w:multiLevelType w:val="hybridMultilevel"/>
    <w:tmpl w:val="C700F9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40DF1"/>
    <w:rsid w:val="0007477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13D3C"/>
    <w:rsid w:val="003531E1"/>
    <w:rsid w:val="00360ED3"/>
    <w:rsid w:val="003650C4"/>
    <w:rsid w:val="00377F3D"/>
    <w:rsid w:val="00382BA4"/>
    <w:rsid w:val="00382FEB"/>
    <w:rsid w:val="003B1534"/>
    <w:rsid w:val="00401DB2"/>
    <w:rsid w:val="00417F5E"/>
    <w:rsid w:val="004323D1"/>
    <w:rsid w:val="0044135F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318B9"/>
    <w:rsid w:val="005478FF"/>
    <w:rsid w:val="0058452E"/>
    <w:rsid w:val="00585A4C"/>
    <w:rsid w:val="005A3569"/>
    <w:rsid w:val="005B7AB6"/>
    <w:rsid w:val="005D5D24"/>
    <w:rsid w:val="005E65E7"/>
    <w:rsid w:val="00610047"/>
    <w:rsid w:val="00617C57"/>
    <w:rsid w:val="00636F6B"/>
    <w:rsid w:val="00693447"/>
    <w:rsid w:val="00694102"/>
    <w:rsid w:val="006A2BE3"/>
    <w:rsid w:val="006B7467"/>
    <w:rsid w:val="006C2D1B"/>
    <w:rsid w:val="006D3F30"/>
    <w:rsid w:val="006D52F6"/>
    <w:rsid w:val="006E0A88"/>
    <w:rsid w:val="006F3D25"/>
    <w:rsid w:val="0071544C"/>
    <w:rsid w:val="007226DC"/>
    <w:rsid w:val="00734466"/>
    <w:rsid w:val="00736031"/>
    <w:rsid w:val="00745426"/>
    <w:rsid w:val="00773F4F"/>
    <w:rsid w:val="007756D2"/>
    <w:rsid w:val="00792047"/>
    <w:rsid w:val="00797F69"/>
    <w:rsid w:val="007A2403"/>
    <w:rsid w:val="007B5C35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1B5A"/>
    <w:rsid w:val="0089758A"/>
    <w:rsid w:val="008B00CE"/>
    <w:rsid w:val="00913F26"/>
    <w:rsid w:val="009202A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7706C"/>
    <w:rsid w:val="00B8782D"/>
    <w:rsid w:val="00BE414C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6259"/>
    <w:rsid w:val="00D31F04"/>
    <w:rsid w:val="00D45F1F"/>
    <w:rsid w:val="00D64906"/>
    <w:rsid w:val="00D71384"/>
    <w:rsid w:val="00D7272A"/>
    <w:rsid w:val="00D84670"/>
    <w:rsid w:val="00DA4DD8"/>
    <w:rsid w:val="00DA6534"/>
    <w:rsid w:val="00DB0A55"/>
    <w:rsid w:val="00DB5E93"/>
    <w:rsid w:val="00DB71FC"/>
    <w:rsid w:val="00E43550"/>
    <w:rsid w:val="00E459F0"/>
    <w:rsid w:val="00E862E4"/>
    <w:rsid w:val="00E944C9"/>
    <w:rsid w:val="00EA6C32"/>
    <w:rsid w:val="00EF13FE"/>
    <w:rsid w:val="00EF5C9A"/>
    <w:rsid w:val="00EF6989"/>
    <w:rsid w:val="00EF7A6F"/>
    <w:rsid w:val="00F012EC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1D551-40D1-46A5-91CB-DE97CF0FE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40</cp:revision>
  <dcterms:created xsi:type="dcterms:W3CDTF">2019-06-29T15:27:00Z</dcterms:created>
  <dcterms:modified xsi:type="dcterms:W3CDTF">2020-06-17T08:57:00Z</dcterms:modified>
</cp:coreProperties>
</file>