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B6B86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  <w:r w:rsidRPr="00D55823">
        <w:rPr>
          <w:rFonts w:ascii="Calibri" w:eastAsia="Calibri" w:hAnsi="Calibri" w:cs="Calibri"/>
          <w:b/>
        </w:rPr>
        <w:t>PRIJEDLOG PRIPREME ZA IZVOĐENJE NASTAVE HRVATSKOGA JEZIKA</w:t>
      </w:r>
    </w:p>
    <w:p w14:paraId="3138D024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2B5B4B" w:rsidRPr="00D55823" w14:paraId="7D820D44" w14:textId="77777777" w:rsidTr="008A2AEB">
        <w:tc>
          <w:tcPr>
            <w:tcW w:w="5842" w:type="dxa"/>
            <w:gridSpan w:val="2"/>
            <w:shd w:val="clear" w:color="auto" w:fill="D9E2F3"/>
          </w:tcPr>
          <w:p w14:paraId="6B95D476" w14:textId="77777777" w:rsidR="002B5B4B" w:rsidRPr="00D55823" w:rsidRDefault="002B5B4B" w:rsidP="008A2AE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E049578" w14:textId="2539CB5B" w:rsidR="002B5B4B" w:rsidRPr="00D55823" w:rsidRDefault="002B5B4B" w:rsidP="008A2AE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1A58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225B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9D548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40E71E4B" w14:textId="5C4FB391" w:rsidR="002B5B4B" w:rsidRPr="00D55823" w:rsidRDefault="002B5B4B" w:rsidP="008A2AE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66304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225B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7640F8">
              <w:rPr>
                <w:rFonts w:ascii="Calibri" w:eastAsia="Calibri" w:hAnsi="Calibri" w:cs="Calibri"/>
                <w:sz w:val="18"/>
                <w:szCs w:val="18"/>
              </w:rPr>
              <w:t>6</w:t>
            </w:r>
            <w:r w:rsidR="0066304E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D55823" w14:paraId="40FBC892" w14:textId="77777777" w:rsidTr="008A2AEB">
        <w:tc>
          <w:tcPr>
            <w:tcW w:w="2440" w:type="dxa"/>
          </w:tcPr>
          <w:p w14:paraId="0143EABC" w14:textId="77777777" w:rsidR="002B5B4B" w:rsidRPr="00D55823" w:rsidRDefault="002B5B4B" w:rsidP="008A2AE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590D9AF" w14:textId="77777777" w:rsidR="002B5B4B" w:rsidRPr="00D55823" w:rsidRDefault="002B5B4B" w:rsidP="008A2AE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D55823" w14:paraId="15925DA6" w14:textId="77777777" w:rsidTr="008A2AEB">
        <w:tc>
          <w:tcPr>
            <w:tcW w:w="2440" w:type="dxa"/>
          </w:tcPr>
          <w:p w14:paraId="164A5EA6" w14:textId="77777777" w:rsidR="002B5B4B" w:rsidRPr="00D55823" w:rsidRDefault="002B5B4B" w:rsidP="008A2AE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3E1DBAC1" w14:textId="77777777" w:rsidR="002B5B4B" w:rsidRPr="00D55823" w:rsidRDefault="002B5B4B" w:rsidP="008A2AE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1A581F" w:rsidRPr="00D55823" w14:paraId="5A83CAC2" w14:textId="77777777" w:rsidTr="008A2AEB">
        <w:tc>
          <w:tcPr>
            <w:tcW w:w="2440" w:type="dxa"/>
          </w:tcPr>
          <w:p w14:paraId="6E7138F1" w14:textId="77777777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8A26EDD" w14:textId="1345C49A" w:rsidR="001A581F" w:rsidRPr="00462A1D" w:rsidRDefault="00172B45" w:rsidP="00462A1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Vrste riječi </w:t>
            </w:r>
            <w:r w:rsidRPr="00462A1D">
              <w:rPr>
                <w:b/>
                <w:bCs/>
                <w:sz w:val="18"/>
                <w:szCs w:val="18"/>
              </w:rPr>
              <w:t>– naučila/naučio sam</w:t>
            </w:r>
            <w:r w:rsidR="00EC33A0">
              <w:rPr>
                <w:b/>
                <w:bCs/>
                <w:sz w:val="18"/>
                <w:szCs w:val="18"/>
              </w:rPr>
              <w:t>…</w:t>
            </w:r>
          </w:p>
        </w:tc>
      </w:tr>
      <w:tr w:rsidR="001A581F" w:rsidRPr="00D55823" w14:paraId="425C9A6D" w14:textId="77777777" w:rsidTr="005E689F">
        <w:trPr>
          <w:trHeight w:val="1837"/>
        </w:trPr>
        <w:tc>
          <w:tcPr>
            <w:tcW w:w="2440" w:type="dxa"/>
          </w:tcPr>
          <w:p w14:paraId="0D065058" w14:textId="77777777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4644E79B" w14:textId="77777777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64B80A8" w14:textId="359FF276" w:rsidR="001A581F" w:rsidRPr="00BE225B" w:rsidRDefault="00BE225B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BE225B">
              <w:rPr>
                <w:rFonts w:eastAsia="Arial" w:cstheme="minorHAnsi"/>
                <w:b/>
                <w:bCs/>
                <w:sz w:val="18"/>
                <w:szCs w:val="18"/>
              </w:rPr>
              <w:t>OŠ HJ A.4.1. Učenik razgovara i govori u skladu s komunikacijskom situacijom</w:t>
            </w:r>
            <w:r w:rsidR="009D5480">
              <w:rPr>
                <w:rFonts w:eastAsia="Arial" w:cstheme="minorHAnsi"/>
                <w:b/>
                <w:bCs/>
                <w:sz w:val="18"/>
                <w:szCs w:val="18"/>
              </w:rPr>
              <w:t>,</w:t>
            </w:r>
            <w:r w:rsidR="001A581F" w:rsidRPr="00BE225B">
              <w:rPr>
                <w:rFonts w:eastAsia="Arial" w:cstheme="minorHAnsi"/>
                <w:b/>
                <w:bCs/>
                <w:sz w:val="18"/>
                <w:szCs w:val="18"/>
              </w:rPr>
              <w:t xml:space="preserve"> služi se novim riječima u skladu s komunikacijskom situacijom i temom</w:t>
            </w:r>
            <w:r>
              <w:rPr>
                <w:rFonts w:eastAsia="Arial" w:cstheme="minorHAnsi"/>
                <w:b/>
                <w:bCs/>
                <w:sz w:val="18"/>
                <w:szCs w:val="18"/>
              </w:rPr>
              <w:t>.</w:t>
            </w:r>
          </w:p>
          <w:p w14:paraId="58716890" w14:textId="518C0460" w:rsidR="00BE225B" w:rsidRPr="00E673C1" w:rsidRDefault="009D5480" w:rsidP="00E673C1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BE225B">
              <w:rPr>
                <w:rFonts w:eastAsia="Arial" w:cstheme="minorHAnsi"/>
                <w:sz w:val="18"/>
                <w:szCs w:val="18"/>
              </w:rPr>
              <w:t>–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BE225B" w:rsidRPr="00E673C1">
              <w:rPr>
                <w:rFonts w:eastAsia="Arial" w:cstheme="minorHAnsi"/>
                <w:sz w:val="18"/>
                <w:szCs w:val="18"/>
              </w:rPr>
              <w:t>razgovara i govori prema zadanoj ili slobodnoj temi</w:t>
            </w:r>
          </w:p>
          <w:p w14:paraId="2CDD286C" w14:textId="0390AD59" w:rsidR="00BE225B" w:rsidRDefault="00BE225B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BE225B">
              <w:rPr>
                <w:rFonts w:eastAsia="Arial" w:cstheme="minorHAnsi"/>
                <w:sz w:val="18"/>
                <w:szCs w:val="18"/>
              </w:rPr>
              <w:t>– sadržajem i strukturom govorenja cjelovito obuhvaća temu</w:t>
            </w:r>
            <w:r w:rsidR="009D5480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  <w:p w14:paraId="3A760036" w14:textId="2729C83B" w:rsidR="005E689F" w:rsidRDefault="005E689F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5E689F">
              <w:rPr>
                <w:rFonts w:eastAsia="Arial" w:cstheme="minorHAnsi"/>
                <w:sz w:val="18"/>
                <w:szCs w:val="18"/>
              </w:rPr>
              <w:t>– prepoznaje važnost neverbalne komunikacije</w:t>
            </w:r>
          </w:p>
          <w:p w14:paraId="2B073817" w14:textId="4D4B75B9" w:rsidR="00BE225B" w:rsidRDefault="00BE225B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BE225B">
              <w:rPr>
                <w:rFonts w:eastAsia="Arial" w:cstheme="minorHAnsi"/>
                <w:b/>
                <w:bCs/>
                <w:sz w:val="18"/>
                <w:szCs w:val="18"/>
              </w:rPr>
              <w:t>OŠ HJ A.4.4. Učenik piše tekstove prema jednostavnoj strukturi.</w:t>
            </w:r>
          </w:p>
          <w:p w14:paraId="62F0091B" w14:textId="2768A121" w:rsidR="00BE225B" w:rsidRDefault="00BE225B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BE225B">
              <w:rPr>
                <w:rFonts w:eastAsia="Arial" w:cstheme="minorHAnsi"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73FA24DC" w14:textId="7BF50016" w:rsidR="00BE225B" w:rsidRDefault="00BE225B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BE225B">
              <w:rPr>
                <w:rFonts w:eastAsia="Arial" w:cstheme="minorHAnsi"/>
                <w:sz w:val="18"/>
                <w:szCs w:val="18"/>
              </w:rPr>
              <w:t>– provjerava pravopisnu točnost i slovopisnu čitkost</w:t>
            </w:r>
          </w:p>
          <w:p w14:paraId="011152F1" w14:textId="6056D3F8" w:rsidR="00695B0B" w:rsidRDefault="00695B0B" w:rsidP="00695B0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695B0B">
              <w:rPr>
                <w:rFonts w:eastAsia="Arial" w:cstheme="minorHAnsi"/>
                <w:b/>
                <w:bCs/>
                <w:sz w:val="18"/>
                <w:szCs w:val="18"/>
              </w:rPr>
              <w:t>OŠ HJ A.4.5. Učenik oblikuje tekst primjenjujući znanja o imenicama, glagolima i pridjevima uvažavajući gramatička i pravopisna pravila</w:t>
            </w:r>
            <w:r w:rsidR="009D5480">
              <w:rPr>
                <w:rFonts w:eastAsia="Arial" w:cstheme="minorHAnsi"/>
                <w:b/>
                <w:bCs/>
                <w:sz w:val="18"/>
                <w:szCs w:val="18"/>
              </w:rPr>
              <w:t>.</w:t>
            </w:r>
          </w:p>
          <w:p w14:paraId="5780B7C1" w14:textId="77777777" w:rsidR="00695B0B" w:rsidRPr="00695B0B" w:rsidRDefault="00695B0B" w:rsidP="00695B0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695B0B">
              <w:rPr>
                <w:rFonts w:eastAsia="Arial"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323C5239" w14:textId="615F270F" w:rsidR="00695B0B" w:rsidRDefault="00695B0B" w:rsidP="00695B0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695B0B">
              <w:rPr>
                <w:rFonts w:eastAsia="Arial" w:cstheme="minorHAnsi"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134497E3" w14:textId="77777777" w:rsidR="00695B0B" w:rsidRPr="00695B0B" w:rsidRDefault="00695B0B" w:rsidP="00695B0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695B0B">
              <w:rPr>
                <w:rFonts w:eastAsia="Arial" w:cstheme="minorHAnsi"/>
                <w:sz w:val="18"/>
                <w:szCs w:val="18"/>
              </w:rPr>
              <w:t>– oblikuje rečenice u kojima se poštuju pravila sročnosti</w:t>
            </w:r>
          </w:p>
          <w:p w14:paraId="5697E582" w14:textId="77777777" w:rsidR="00695B0B" w:rsidRPr="00695B0B" w:rsidRDefault="00695B0B" w:rsidP="00695B0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695B0B">
              <w:rPr>
                <w:rFonts w:eastAsia="Arial"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1A6A536D" w14:textId="3FDC9F0B" w:rsidR="00695B0B" w:rsidRPr="00695B0B" w:rsidRDefault="00695B0B" w:rsidP="00695B0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695B0B">
              <w:rPr>
                <w:rFonts w:eastAsia="Arial" w:cstheme="minorHAnsi"/>
                <w:sz w:val="18"/>
                <w:szCs w:val="18"/>
              </w:rPr>
              <w:t>– funkcionalno primjenjuje jezična znanja</w:t>
            </w:r>
          </w:p>
          <w:p w14:paraId="69718087" w14:textId="62A389AC" w:rsidR="001A581F" w:rsidRPr="00D55823" w:rsidRDefault="001A581F" w:rsidP="005E689F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1A581F" w:rsidRPr="00D55823" w14:paraId="39D98333" w14:textId="77777777" w:rsidTr="00AE1DDF">
        <w:tc>
          <w:tcPr>
            <w:tcW w:w="9498" w:type="dxa"/>
            <w:gridSpan w:val="4"/>
          </w:tcPr>
          <w:p w14:paraId="759D2A33" w14:textId="77777777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2968E83B" w14:textId="77777777" w:rsidR="001A581F" w:rsidRPr="00D55823" w:rsidRDefault="001A581F" w:rsidP="001A581F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8A1E318" w14:textId="77777777" w:rsidR="001A581F" w:rsidRPr="00D55823" w:rsidRDefault="001A581F" w:rsidP="001A581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591EA62" w14:textId="77777777" w:rsidR="001A581F" w:rsidRPr="00D55823" w:rsidRDefault="001A581F" w:rsidP="001A581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93FC3" w:rsidRPr="00D55823" w14:paraId="22119233" w14:textId="77777777" w:rsidTr="00A96FE1">
        <w:trPr>
          <w:trHeight w:val="1266"/>
        </w:trPr>
        <w:tc>
          <w:tcPr>
            <w:tcW w:w="9498" w:type="dxa"/>
            <w:gridSpan w:val="4"/>
          </w:tcPr>
          <w:p w14:paraId="688B0DF2" w14:textId="77777777" w:rsidR="00893FC3" w:rsidRDefault="00893FC3" w:rsidP="001A581F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D52850A" w14:textId="1A7E1209" w:rsidR="00893FC3" w:rsidRPr="00442E10" w:rsidRDefault="00442E10" w:rsidP="00442E10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893FC3" w:rsidRPr="00442E10">
              <w:rPr>
                <w:rFonts w:cstheme="minorHAnsi"/>
                <w:b/>
                <w:sz w:val="18"/>
                <w:szCs w:val="18"/>
              </w:rPr>
              <w:t>PANTOMIMA</w:t>
            </w:r>
          </w:p>
          <w:p w14:paraId="374E7C0D" w14:textId="39E935E0" w:rsidR="00893FC3" w:rsidRDefault="009D5480" w:rsidP="00C26814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93FC3" w:rsidRPr="00C26814">
              <w:rPr>
                <w:rFonts w:cstheme="minorHAnsi"/>
                <w:b/>
                <w:sz w:val="18"/>
                <w:szCs w:val="18"/>
              </w:rPr>
              <w:t xml:space="preserve">Ishodi aktivnosti: </w:t>
            </w:r>
            <w:r w:rsidR="00893FC3" w:rsidRPr="00C26814">
              <w:rPr>
                <w:rFonts w:cstheme="minorHAnsi"/>
                <w:bCs/>
                <w:sz w:val="18"/>
                <w:szCs w:val="18"/>
              </w:rPr>
              <w:t>razgovara i govori prema zadanoj ili slobodnoj temi,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93FC3" w:rsidRPr="00C26814">
              <w:rPr>
                <w:rFonts w:cstheme="minorHAnsi"/>
                <w:bCs/>
                <w:sz w:val="18"/>
                <w:szCs w:val="18"/>
              </w:rPr>
              <w:t>sadržajem i strukturom govorenja cjelovito obuhvaća temu, prepoznaje važnost neverbalne komunikacije</w:t>
            </w:r>
          </w:p>
          <w:p w14:paraId="04EFF2BD" w14:textId="77777777" w:rsidR="00893FC3" w:rsidRDefault="00893FC3" w:rsidP="00C26814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12282D07" w14:textId="659967B3" w:rsidR="00893FC3" w:rsidRDefault="00893FC3" w:rsidP="00C26814">
            <w:pPr>
              <w:rPr>
                <w:rFonts w:cstheme="minorHAnsi"/>
                <w:bCs/>
                <w:sz w:val="18"/>
                <w:szCs w:val="18"/>
              </w:rPr>
            </w:pPr>
            <w:r w:rsidRPr="00C2681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Pr="00C26814">
              <w:rPr>
                <w:rFonts w:cstheme="minorHAnsi"/>
                <w:bCs/>
                <w:sz w:val="18"/>
                <w:szCs w:val="18"/>
              </w:rPr>
              <w:t>Učiteljica/učitelj priprema</w:t>
            </w:r>
            <w:r w:rsidR="009D548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26814">
              <w:rPr>
                <w:rFonts w:cstheme="minorHAnsi"/>
                <w:bCs/>
                <w:sz w:val="18"/>
                <w:szCs w:val="18"/>
              </w:rPr>
              <w:t>„čarobnu staklenku“ u kojoj ć</w:t>
            </w:r>
            <w:r>
              <w:rPr>
                <w:rFonts w:cstheme="minorHAnsi"/>
                <w:bCs/>
                <w:sz w:val="18"/>
                <w:szCs w:val="18"/>
              </w:rPr>
              <w:t>e</w:t>
            </w:r>
            <w:r w:rsidRPr="00C26814">
              <w:rPr>
                <w:rFonts w:cstheme="minorHAnsi"/>
                <w:bCs/>
                <w:sz w:val="18"/>
                <w:szCs w:val="18"/>
              </w:rPr>
              <w:t xml:space="preserve"> biti papirići na kojima</w:t>
            </w:r>
            <w:r w:rsidR="009D548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26814">
              <w:rPr>
                <w:rFonts w:cstheme="minorHAnsi"/>
                <w:bCs/>
                <w:sz w:val="18"/>
                <w:szCs w:val="18"/>
              </w:rPr>
              <w:t>su napisane neke imenice</w:t>
            </w:r>
            <w:r w:rsidR="009D5480">
              <w:rPr>
                <w:rFonts w:cstheme="minorHAnsi"/>
                <w:bCs/>
                <w:sz w:val="18"/>
                <w:szCs w:val="18"/>
              </w:rPr>
              <w:t>,</w:t>
            </w:r>
            <w:r w:rsidRPr="00C26814">
              <w:rPr>
                <w:rFonts w:cstheme="minorHAnsi"/>
                <w:bCs/>
                <w:sz w:val="18"/>
                <w:szCs w:val="18"/>
              </w:rPr>
              <w:t xml:space="preserve"> glagoli ili pridjevi koje učenici pantomimom, odnosno pokretima tijela</w:t>
            </w:r>
            <w:r w:rsidR="009D5480">
              <w:rPr>
                <w:rFonts w:cstheme="minorHAnsi"/>
                <w:bCs/>
                <w:sz w:val="18"/>
                <w:szCs w:val="18"/>
              </w:rPr>
              <w:t>,</w:t>
            </w:r>
            <w:r w:rsidRPr="00C2681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9D5480">
              <w:rPr>
                <w:rFonts w:cstheme="minorHAnsi"/>
                <w:bCs/>
                <w:sz w:val="18"/>
                <w:szCs w:val="18"/>
              </w:rPr>
              <w:t>trebaju</w:t>
            </w:r>
            <w:r w:rsidRPr="00C26814">
              <w:rPr>
                <w:rFonts w:cstheme="minorHAnsi"/>
                <w:bCs/>
                <w:sz w:val="18"/>
                <w:szCs w:val="18"/>
              </w:rPr>
              <w:t xml:space="preserve"> prikazati tako da ostali učenici pogode o čemu je riječ.</w:t>
            </w:r>
            <w:r w:rsidRPr="00C26814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C3A9B">
              <w:rPr>
                <w:rFonts w:cstheme="minorHAnsi"/>
                <w:bCs/>
                <w:sz w:val="18"/>
                <w:szCs w:val="18"/>
              </w:rPr>
              <w:t xml:space="preserve">Prvog učenika proziva učiteljica/učitelj, a zatim dolaze na red oni učenici koji pogode zadanu riječ. </w:t>
            </w:r>
            <w:r>
              <w:rPr>
                <w:rFonts w:cstheme="minorHAnsi"/>
                <w:bCs/>
                <w:sz w:val="18"/>
                <w:szCs w:val="18"/>
              </w:rPr>
              <w:t>Prijedlozi:</w:t>
            </w:r>
            <w:r w:rsidR="009D548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C3A9B">
              <w:rPr>
                <w:rFonts w:cstheme="minorHAnsi"/>
                <w:bCs/>
                <w:sz w:val="18"/>
                <w:szCs w:val="18"/>
              </w:rPr>
              <w:t>pospan</w:t>
            </w:r>
            <w:r>
              <w:rPr>
                <w:rFonts w:cstheme="minorHAnsi"/>
                <w:bCs/>
                <w:sz w:val="18"/>
                <w:szCs w:val="18"/>
              </w:rPr>
              <w:t>, snažan, sretan</w:t>
            </w:r>
            <w:r w:rsidRPr="00CC3A9B">
              <w:rPr>
                <w:rFonts w:cstheme="minorHAnsi"/>
                <w:bCs/>
                <w:sz w:val="18"/>
                <w:szCs w:val="18"/>
              </w:rPr>
              <w:t>(pridjev</w:t>
            </w:r>
            <w:r>
              <w:rPr>
                <w:rFonts w:cstheme="minorHAnsi"/>
                <w:bCs/>
                <w:sz w:val="18"/>
                <w:szCs w:val="18"/>
              </w:rPr>
              <w:t>i</w:t>
            </w:r>
            <w:r w:rsidRPr="00CC3A9B">
              <w:rPr>
                <w:rFonts w:cstheme="minorHAnsi"/>
                <w:bCs/>
                <w:sz w:val="18"/>
                <w:szCs w:val="18"/>
              </w:rPr>
              <w:t>), učiteljica</w:t>
            </w:r>
            <w:r>
              <w:rPr>
                <w:rFonts w:cstheme="minorHAnsi"/>
                <w:bCs/>
                <w:sz w:val="18"/>
                <w:szCs w:val="18"/>
              </w:rPr>
              <w:t xml:space="preserve">, starica, pas </w:t>
            </w:r>
            <w:r w:rsidRPr="00CC3A9B">
              <w:rPr>
                <w:rFonts w:cstheme="minorHAnsi"/>
                <w:bCs/>
                <w:sz w:val="18"/>
                <w:szCs w:val="18"/>
              </w:rPr>
              <w:t>(imenic</w:t>
            </w:r>
            <w:r>
              <w:rPr>
                <w:rFonts w:cstheme="minorHAnsi"/>
                <w:bCs/>
                <w:sz w:val="18"/>
                <w:szCs w:val="18"/>
              </w:rPr>
              <w:t>e</w:t>
            </w:r>
            <w:r w:rsidRPr="00CC3A9B">
              <w:rPr>
                <w:rFonts w:cstheme="minorHAnsi"/>
                <w:bCs/>
                <w:sz w:val="18"/>
                <w:szCs w:val="18"/>
              </w:rPr>
              <w:t>) i plivati</w:t>
            </w:r>
            <w:r>
              <w:rPr>
                <w:rFonts w:cstheme="minorHAnsi"/>
                <w:bCs/>
                <w:sz w:val="18"/>
                <w:szCs w:val="18"/>
              </w:rPr>
              <w:t>, pjevati, plesati</w:t>
            </w:r>
            <w:r w:rsidRPr="00CC3A9B">
              <w:rPr>
                <w:rFonts w:cstheme="minorHAnsi"/>
                <w:bCs/>
                <w:sz w:val="18"/>
                <w:szCs w:val="18"/>
              </w:rPr>
              <w:t xml:space="preserve"> (glagol</w:t>
            </w:r>
            <w:r>
              <w:rPr>
                <w:rFonts w:cstheme="minorHAnsi"/>
                <w:bCs/>
                <w:sz w:val="18"/>
                <w:szCs w:val="18"/>
              </w:rPr>
              <w:t>i</w:t>
            </w:r>
            <w:r w:rsidRPr="00CC3A9B">
              <w:rPr>
                <w:rFonts w:cstheme="minorHAnsi"/>
                <w:bCs/>
                <w:sz w:val="18"/>
                <w:szCs w:val="18"/>
              </w:rPr>
              <w:t>).</w:t>
            </w:r>
          </w:p>
          <w:p w14:paraId="0EA9EBA4" w14:textId="77777777" w:rsidR="00893FC3" w:rsidRDefault="00893FC3" w:rsidP="00B31792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Nakon igre učenici samostalno zaključuju da su pojmovi bili ili imenice ili glagoli ili pridjevi. </w:t>
            </w:r>
          </w:p>
          <w:p w14:paraId="6B0C7C5D" w14:textId="5BB5478B" w:rsidR="00893FC3" w:rsidRDefault="00893FC3" w:rsidP="00B31792">
            <w:pPr>
              <w:rPr>
                <w:rFonts w:cstheme="minorHAnsi"/>
                <w:bCs/>
                <w:sz w:val="18"/>
                <w:szCs w:val="18"/>
              </w:rPr>
            </w:pPr>
            <w:r w:rsidRPr="00B31792">
              <w:rPr>
                <w:rFonts w:cstheme="minorHAnsi"/>
                <w:bCs/>
                <w:sz w:val="18"/>
                <w:szCs w:val="18"/>
              </w:rPr>
              <w:t>Komunikacijska situacija: Što su imenice? (</w:t>
            </w:r>
            <w:r w:rsidR="009D5480">
              <w:rPr>
                <w:rFonts w:cstheme="minorHAnsi"/>
                <w:bCs/>
                <w:sz w:val="18"/>
                <w:szCs w:val="18"/>
              </w:rPr>
              <w:t>V</w:t>
            </w:r>
            <w:r w:rsidRPr="00B31792">
              <w:rPr>
                <w:rFonts w:cstheme="minorHAnsi"/>
                <w:bCs/>
                <w:sz w:val="18"/>
                <w:szCs w:val="18"/>
              </w:rPr>
              <w:t>rst</w:t>
            </w:r>
            <w:r w:rsidR="009D5480">
              <w:rPr>
                <w:rFonts w:cstheme="minorHAnsi"/>
                <w:bCs/>
                <w:sz w:val="18"/>
                <w:szCs w:val="18"/>
              </w:rPr>
              <w:t>a</w:t>
            </w:r>
            <w:r w:rsidRPr="00B31792">
              <w:rPr>
                <w:rFonts w:cstheme="minorHAnsi"/>
                <w:bCs/>
                <w:sz w:val="18"/>
                <w:szCs w:val="18"/>
              </w:rPr>
              <w:t xml:space="preserve"> riječi kojima imenujemo bića, stvari, pojave, mjesta, osjećaje</w:t>
            </w:r>
            <w:r w:rsidR="009D5480">
              <w:rPr>
                <w:rFonts w:cstheme="minorHAnsi"/>
                <w:bCs/>
                <w:sz w:val="18"/>
                <w:szCs w:val="18"/>
              </w:rPr>
              <w:t>.</w:t>
            </w:r>
            <w:r w:rsidRPr="00B31792">
              <w:rPr>
                <w:rFonts w:cstheme="minorHAnsi"/>
                <w:bCs/>
                <w:sz w:val="18"/>
                <w:szCs w:val="18"/>
              </w:rPr>
              <w:t>)</w:t>
            </w:r>
            <w:r>
              <w:rPr>
                <w:rFonts w:cstheme="minorHAnsi"/>
                <w:bCs/>
                <w:sz w:val="18"/>
                <w:szCs w:val="18"/>
              </w:rPr>
              <w:t xml:space="preserve"> Kojeg roda mogu biti imenice? Kako razlikujemo imenice po broju?</w:t>
            </w:r>
            <w:r w:rsidR="009D548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31792">
              <w:rPr>
                <w:rFonts w:cstheme="minorHAnsi"/>
                <w:bCs/>
                <w:sz w:val="18"/>
                <w:szCs w:val="18"/>
              </w:rPr>
              <w:t>Koja se vrsta riječi najčešće nalazi uz imenice? Na koje pitanje odgovaraju opisni, a na koje</w:t>
            </w:r>
            <w:r w:rsidR="009D548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31792">
              <w:rPr>
                <w:rFonts w:cstheme="minorHAnsi"/>
                <w:bCs/>
                <w:sz w:val="18"/>
                <w:szCs w:val="18"/>
              </w:rPr>
              <w:t>posvojni pridjevi ?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31792">
              <w:rPr>
                <w:rFonts w:cstheme="minorHAnsi"/>
                <w:bCs/>
                <w:sz w:val="18"/>
                <w:szCs w:val="18"/>
              </w:rPr>
              <w:t xml:space="preserve">Što nam izriču glagoli? </w:t>
            </w:r>
          </w:p>
          <w:p w14:paraId="7F1B6ABB" w14:textId="15F0EC70" w:rsidR="00893FC3" w:rsidRPr="00DB2A14" w:rsidRDefault="00893FC3" w:rsidP="00B31792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Učenici navode po nekoliko vlastitih i općih imenica, nekoliko opisnih i posvojnih pridjeva i nekoliko glagola.</w:t>
            </w:r>
          </w:p>
        </w:tc>
        <w:tc>
          <w:tcPr>
            <w:tcW w:w="2835" w:type="dxa"/>
          </w:tcPr>
          <w:p w14:paraId="5018DA05" w14:textId="77777777" w:rsidR="00893FC3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Jedinica </w:t>
            </w:r>
            <w:hyperlink r:id="rId5" w:history="1">
              <w:r w:rsidRPr="00442E10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Imenice, glagoli, pridjevi</w:t>
              </w:r>
            </w:hyperlink>
          </w:p>
          <w:p w14:paraId="58610542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64BAC35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70744DB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C9F4487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32D2914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6" w:anchor="block-1661947" w:history="1">
              <w:r w:rsidRPr="00442E10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Vrste riječi i sve o njima</w:t>
              </w:r>
            </w:hyperlink>
          </w:p>
          <w:p w14:paraId="32BDD1C8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E7539B5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059B5F4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4D7C755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840D523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2089E4C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F6AB23B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BF7D55E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9DA806B" w14:textId="5DC13064" w:rsidR="00442E10" w:rsidRPr="00D55823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59ECD55D" w14:textId="34860EC2" w:rsidR="00893FC3" w:rsidRDefault="00893FC3" w:rsidP="00546CB0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  <w:r w:rsidRPr="00172B45"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  <w:t>OŠ TZK</w:t>
            </w:r>
            <w:r w:rsidRPr="00546CB0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A.4.1.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546CB0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Oponaša osnovne strukture gibanja raznovrsnih grupacija sportova.</w:t>
            </w:r>
          </w:p>
          <w:p w14:paraId="1BB3AC9E" w14:textId="71DE9345" w:rsidR="00893FC3" w:rsidRDefault="00172B45" w:rsidP="001A581F">
            <w:pPr>
              <w:rPr>
                <w:rFonts w:eastAsia="Calibri" w:cstheme="minorHAnsi"/>
                <w:sz w:val="18"/>
                <w:szCs w:val="18"/>
              </w:rPr>
            </w:pPr>
            <w:r w:rsidRPr="00172B45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93FC3">
              <w:rPr>
                <w:rFonts w:eastAsia="Calibri" w:cstheme="minorHAnsi"/>
                <w:sz w:val="18"/>
                <w:szCs w:val="18"/>
              </w:rPr>
              <w:t>A. 2</w:t>
            </w:r>
            <w:r w:rsidR="00893FC3" w:rsidRPr="00D95099">
              <w:rPr>
                <w:rFonts w:eastAsia="Calibri" w:cstheme="minorHAnsi"/>
                <w:sz w:val="18"/>
                <w:szCs w:val="18"/>
              </w:rPr>
              <w:t>. 1</w:t>
            </w:r>
            <w:r w:rsidR="00893FC3">
              <w:rPr>
                <w:rFonts w:eastAsia="Calibri" w:cstheme="minorHAnsi"/>
                <w:sz w:val="18"/>
                <w:szCs w:val="18"/>
              </w:rPr>
              <w:t>.</w:t>
            </w:r>
            <w:r w:rsidR="00893FC3">
              <w:t xml:space="preserve"> </w:t>
            </w:r>
            <w:r w:rsidR="00893FC3" w:rsidRPr="00C727F7">
              <w:rPr>
                <w:rFonts w:eastAsia="Calibri" w:cstheme="minorHAnsi"/>
                <w:sz w:val="18"/>
                <w:szCs w:val="18"/>
              </w:rPr>
              <w:t>Razvija sliku o sebi.</w:t>
            </w:r>
          </w:p>
          <w:p w14:paraId="5E04DC9F" w14:textId="02C4AC24" w:rsidR="00893FC3" w:rsidRDefault="00893FC3" w:rsidP="001A581F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B. 2</w:t>
            </w:r>
            <w:r w:rsidRPr="00D95099">
              <w:rPr>
                <w:rFonts w:eastAsia="Calibri" w:cstheme="minorHAnsi"/>
                <w:sz w:val="18"/>
                <w:szCs w:val="18"/>
              </w:rPr>
              <w:t>. 2.</w:t>
            </w:r>
            <w:r>
              <w:t xml:space="preserve"> </w:t>
            </w:r>
            <w:r w:rsidRPr="00C727F7">
              <w:rPr>
                <w:rFonts w:eastAsia="Calibri" w:cstheme="minorHAnsi"/>
                <w:sz w:val="18"/>
                <w:szCs w:val="18"/>
              </w:rPr>
              <w:t>Razvija komunikacijske kompetencije</w:t>
            </w:r>
            <w:r w:rsidR="009D5480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199C73C2" w14:textId="3154993C" w:rsidR="00893FC3" w:rsidRPr="00D55823" w:rsidRDefault="00172B45" w:rsidP="00C727F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72B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AE1DD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93FC3" w:rsidRPr="00AE1DDF">
              <w:rPr>
                <w:rFonts w:ascii="Calibri" w:eastAsia="Calibri" w:hAnsi="Calibri" w:cs="Calibr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učitelja.</w:t>
            </w:r>
          </w:p>
        </w:tc>
      </w:tr>
      <w:tr w:rsidR="00893FC3" w:rsidRPr="00D55823" w14:paraId="5C96FCF9" w14:textId="77777777" w:rsidTr="00A96FE1">
        <w:trPr>
          <w:trHeight w:val="2117"/>
        </w:trPr>
        <w:tc>
          <w:tcPr>
            <w:tcW w:w="9498" w:type="dxa"/>
            <w:gridSpan w:val="4"/>
          </w:tcPr>
          <w:p w14:paraId="17227543" w14:textId="77777777" w:rsidR="00893FC3" w:rsidRPr="00546CB0" w:rsidRDefault="00893FC3" w:rsidP="001A581F">
            <w:pPr>
              <w:rPr>
                <w:rFonts w:ascii="Calibri" w:eastAsia="Calibri" w:hAnsi="Calibri" w:cs="Calibri"/>
                <w:b/>
                <w:bCs/>
                <w:sz w:val="8"/>
                <w:szCs w:val="8"/>
              </w:rPr>
            </w:pPr>
          </w:p>
          <w:p w14:paraId="1FF950CD" w14:textId="0BA9C951" w:rsidR="00893FC3" w:rsidRPr="00442E10" w:rsidRDefault="00442E10" w:rsidP="00442E1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893FC3" w:rsidRPr="00442E1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DJEČJE RADOSTI</w:t>
            </w:r>
          </w:p>
          <w:p w14:paraId="3A9D8A8F" w14:textId="77777777" w:rsidR="00893FC3" w:rsidRDefault="00893FC3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8D971BB" w14:textId="643649A5" w:rsidR="00893FC3" w:rsidRPr="00303AEE" w:rsidRDefault="00893FC3" w:rsidP="008E77F5">
            <w:pPr>
              <w:widowControl w:val="0"/>
              <w:autoSpaceDE w:val="0"/>
              <w:autoSpaceDN w:val="0"/>
              <w:rPr>
                <w:rFonts w:eastAsia="Calibri" w:cstheme="minorHAnsi"/>
                <w:bCs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>Ishod aktivnosti</w:t>
            </w:r>
            <w:r w:rsidRPr="008B572B">
              <w:rPr>
                <w:rFonts w:eastAsia="Calibri" w:cstheme="minorHAnsi"/>
                <w:bCs/>
                <w:sz w:val="18"/>
                <w:szCs w:val="18"/>
              </w:rPr>
              <w:t>: razgovara i govori prema zadanoj ili slobodnoj temi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, </w:t>
            </w:r>
            <w:r w:rsidRPr="008B572B">
              <w:rPr>
                <w:rFonts w:eastAsia="Calibri" w:cstheme="minorHAnsi"/>
                <w:bCs/>
                <w:sz w:val="18"/>
                <w:szCs w:val="18"/>
              </w:rPr>
              <w:t>razumije gramatičku kategoriju vrste riječi (imenice, glagoli, pridjevi)</w:t>
            </w:r>
            <w:r>
              <w:rPr>
                <w:rFonts w:eastAsia="Calibri" w:cstheme="minorHAnsi"/>
                <w:bCs/>
                <w:sz w:val="18"/>
                <w:szCs w:val="18"/>
              </w:rPr>
              <w:t>,</w:t>
            </w:r>
            <w:r w:rsidRPr="008B572B">
              <w:rPr>
                <w:rFonts w:eastAsia="Calibri" w:cstheme="minorHAnsi"/>
                <w:bCs/>
                <w:sz w:val="18"/>
                <w:szCs w:val="18"/>
              </w:rPr>
              <w:t xml:space="preserve"> pravilno upotrebljava broj i rod imenica i pridjeva koji se s njom slažu na oglednim primjerima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, </w:t>
            </w:r>
            <w:r w:rsidRPr="008B572B">
              <w:rPr>
                <w:rFonts w:eastAsia="Calibri" w:cstheme="minorHAnsi"/>
                <w:bCs/>
                <w:sz w:val="18"/>
                <w:szCs w:val="18"/>
              </w:rPr>
              <w:t>oblikuje rečenice u kojima se poštuju pravila sročnosti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, </w:t>
            </w:r>
            <w:r w:rsidRPr="008E77F5">
              <w:rPr>
                <w:rFonts w:eastAsia="Calibri" w:cstheme="minorHAnsi"/>
                <w:bCs/>
                <w:sz w:val="18"/>
                <w:szCs w:val="18"/>
              </w:rPr>
              <w:t>piše prema predlošcima za ovladavanje gramatičkom i stilističkom normom potrebnom za strukturiranje teksta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, </w:t>
            </w:r>
            <w:r w:rsidRPr="008E77F5">
              <w:rPr>
                <w:rFonts w:eastAsia="Calibri" w:cstheme="minorHAnsi"/>
                <w:bCs/>
                <w:sz w:val="18"/>
                <w:szCs w:val="18"/>
              </w:rPr>
              <w:t>provjerava pravopisnu točnost i slovopisnu čitkost</w:t>
            </w:r>
          </w:p>
          <w:p w14:paraId="58ECEE58" w14:textId="77777777" w:rsidR="00893FC3" w:rsidRDefault="00893FC3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0ECB8FE" w14:textId="5E6A3767" w:rsidR="00893FC3" w:rsidRPr="008B572B" w:rsidRDefault="00893FC3" w:rsidP="008B572B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  <w:r>
              <w:rPr>
                <w:rFonts w:eastAsia="Calibri" w:cstheme="minorHAnsi"/>
                <w:bCs/>
                <w:sz w:val="18"/>
                <w:szCs w:val="18"/>
              </w:rPr>
              <w:t>Učiteljica/učitelj upućuje učenike da otvore udžbenik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 xml:space="preserve">, 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promotre pažljivo fotografiju i pokušaju uočiti što više detalja. Upućuje ih 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 xml:space="preserve">da 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izgovore što više imenica koje mogu izreći uz fotografiju, zatim što više glagola i pridjeva. Učenici ponavljaju da je pri opisu 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>važno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uočiti što više detalja. Zadatak je dobro promotriti fotografiju i opisati je </w:t>
            </w:r>
            <w:r w:rsidRPr="008B572B">
              <w:rPr>
                <w:rFonts w:eastAsia="Calibri" w:cstheme="minorHAnsi"/>
                <w:bCs/>
                <w:sz w:val="18"/>
                <w:szCs w:val="18"/>
              </w:rPr>
              <w:t>u pet rečenica koristeći imenic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>e</w:t>
            </w:r>
            <w:r w:rsidRPr="008B572B">
              <w:rPr>
                <w:rFonts w:eastAsia="Calibri" w:cstheme="minorHAnsi"/>
                <w:bCs/>
                <w:sz w:val="18"/>
                <w:szCs w:val="18"/>
              </w:rPr>
              <w:t>,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B572B">
              <w:rPr>
                <w:rFonts w:eastAsia="Calibri" w:cstheme="minorHAnsi"/>
                <w:bCs/>
                <w:sz w:val="18"/>
                <w:szCs w:val="18"/>
              </w:rPr>
              <w:t>glagol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>e</w:t>
            </w:r>
            <w:r w:rsidRPr="008B572B">
              <w:rPr>
                <w:rFonts w:eastAsia="Calibri" w:cstheme="minorHAnsi"/>
                <w:bCs/>
                <w:sz w:val="18"/>
                <w:szCs w:val="18"/>
              </w:rPr>
              <w:t xml:space="preserve"> i pridjev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>e</w:t>
            </w:r>
            <w:r w:rsidRPr="008B572B">
              <w:rPr>
                <w:rFonts w:eastAsia="Calibri" w:cstheme="minorHAnsi"/>
                <w:bCs/>
                <w:sz w:val="18"/>
                <w:szCs w:val="18"/>
              </w:rPr>
              <w:t>.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Svaki učenik u svojim rečenicama treba podcrtati imenice crvenom, glagole plavom, a pridjeve zelenom bojom.</w:t>
            </w:r>
          </w:p>
          <w:p w14:paraId="03B9E30A" w14:textId="098BD250" w:rsidR="00893FC3" w:rsidRPr="008E77F5" w:rsidRDefault="00893FC3" w:rsidP="00303AEE">
            <w:pPr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 xml:space="preserve">Kada 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>završe s radom,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učenici čitaju svoje rečenice i analiziraju točnost podcrtanih riječi. </w:t>
            </w:r>
          </w:p>
        </w:tc>
        <w:tc>
          <w:tcPr>
            <w:tcW w:w="2835" w:type="dxa"/>
          </w:tcPr>
          <w:p w14:paraId="34143057" w14:textId="77777777" w:rsidR="00893FC3" w:rsidRDefault="00893FC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4000AEC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AA70F9D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CBE8547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516E21C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7FAE83C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27E5000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975176A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D4796B5" w14:textId="1382D919" w:rsidR="00442E10" w:rsidRPr="00D55823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740835" w:history="1">
              <w:r w:rsidRPr="00442E10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Ponovi</w:t>
              </w:r>
            </w:hyperlink>
          </w:p>
        </w:tc>
        <w:tc>
          <w:tcPr>
            <w:tcW w:w="2694" w:type="dxa"/>
            <w:vMerge/>
          </w:tcPr>
          <w:p w14:paraId="45335029" w14:textId="77777777" w:rsidR="00893FC3" w:rsidRPr="00EF6439" w:rsidRDefault="00893FC3" w:rsidP="00AE1DDF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893FC3" w:rsidRPr="00D55823" w14:paraId="736E2433" w14:textId="77777777" w:rsidTr="00A96FE1">
        <w:trPr>
          <w:trHeight w:val="2117"/>
        </w:trPr>
        <w:tc>
          <w:tcPr>
            <w:tcW w:w="9498" w:type="dxa"/>
            <w:gridSpan w:val="4"/>
          </w:tcPr>
          <w:p w14:paraId="2773D29F" w14:textId="77777777" w:rsidR="00893FC3" w:rsidRDefault="00893FC3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FF12538" w14:textId="505F1D48" w:rsidR="00893FC3" w:rsidRPr="00442E10" w:rsidRDefault="00442E10" w:rsidP="00442E1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="00893FC3" w:rsidRPr="00442E1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PAŽLJIVO SLUŠAM</w:t>
            </w:r>
          </w:p>
          <w:p w14:paraId="31C76135" w14:textId="77777777" w:rsidR="00893FC3" w:rsidRPr="00546CB0" w:rsidRDefault="00893FC3" w:rsidP="008E77F5">
            <w:pPr>
              <w:ind w:left="360"/>
              <w:rPr>
                <w:rFonts w:ascii="Calibri" w:eastAsia="Calibri" w:hAnsi="Calibri" w:cs="Calibri"/>
                <w:b/>
                <w:bCs/>
                <w:sz w:val="12"/>
                <w:szCs w:val="12"/>
              </w:rPr>
            </w:pPr>
          </w:p>
          <w:p w14:paraId="609C00FC" w14:textId="783C9D3F" w:rsidR="00893FC3" w:rsidRDefault="00893FC3" w:rsidP="008E77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751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CD3A9C">
              <w:rPr>
                <w:rFonts w:ascii="Calibri" w:eastAsia="Calibri" w:hAnsi="Calibri" w:cs="Calibri"/>
                <w:sz w:val="18"/>
                <w:szCs w:val="18"/>
              </w:rPr>
              <w:t>razumije gramatičku kategoriju vrste riječi (imenice, glagoli, pridjevi), pravilno upotrebljava broj i rod imenica i pridjeva koji se s njom slažu na oglednim primjerima, oblikuje rečenice u kojima se poštuju pravila sročnosti, funkcionalno upotrebljava riječi, sintagme i rečenice u skladu s dinamikom učenja s obzirom na jezični razvoj, funkcionalno primjenjuje jezična znanja</w:t>
            </w:r>
          </w:p>
          <w:p w14:paraId="48697DFC" w14:textId="77777777" w:rsidR="00893FC3" w:rsidRPr="00546CB0" w:rsidRDefault="00893FC3" w:rsidP="008E77F5">
            <w:pPr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3B338EA4" w14:textId="1904D50A" w:rsidR="00893FC3" w:rsidRPr="00CD3A9C" w:rsidRDefault="00893FC3" w:rsidP="00FA669B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CD3A9C">
              <w:rPr>
                <w:rFonts w:eastAsia="Calibri" w:cstheme="minorHAnsi"/>
                <w:bCs/>
                <w:sz w:val="18"/>
                <w:szCs w:val="18"/>
              </w:rPr>
              <w:t>„Igra slušanja“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– 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>u</w:t>
            </w:r>
            <w:r>
              <w:rPr>
                <w:rFonts w:eastAsia="Calibri" w:cstheme="minorHAnsi"/>
                <w:bCs/>
                <w:sz w:val="18"/>
                <w:szCs w:val="18"/>
              </w:rPr>
              <w:t>čiteljica/uč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>itelj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D3A9C">
              <w:rPr>
                <w:rFonts w:eastAsia="Calibri" w:cstheme="minorHAnsi"/>
                <w:bCs/>
                <w:sz w:val="18"/>
                <w:szCs w:val="18"/>
              </w:rPr>
              <w:t>učenicima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D3A9C">
              <w:rPr>
                <w:rFonts w:eastAsia="Calibri" w:cstheme="minorHAnsi"/>
                <w:bCs/>
                <w:sz w:val="18"/>
                <w:szCs w:val="18"/>
              </w:rPr>
              <w:t>čita rečenice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u 1. zadatku u udžbeniku</w:t>
            </w:r>
            <w:r w:rsidRPr="00CD3A9C">
              <w:rPr>
                <w:rFonts w:eastAsia="Calibri" w:cstheme="minorHAnsi"/>
                <w:bCs/>
                <w:sz w:val="18"/>
                <w:szCs w:val="18"/>
              </w:rPr>
              <w:t>, a učenici pažljivo sluša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>ju</w:t>
            </w:r>
            <w:r w:rsidRPr="00CD3A9C">
              <w:rPr>
                <w:rFonts w:eastAsia="Calibri" w:cstheme="minorHAnsi"/>
                <w:bCs/>
                <w:sz w:val="18"/>
                <w:szCs w:val="18"/>
              </w:rPr>
              <w:t>.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Upućuje ih 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 xml:space="preserve">na to </w:t>
            </w:r>
            <w:r>
              <w:rPr>
                <w:rFonts w:eastAsia="Calibri" w:cstheme="minorHAnsi"/>
                <w:bCs/>
                <w:sz w:val="18"/>
                <w:szCs w:val="18"/>
              </w:rPr>
              <w:t>da k</w:t>
            </w:r>
            <w:r w:rsidRPr="00CD3A9C">
              <w:rPr>
                <w:rFonts w:eastAsia="Calibri" w:cstheme="minorHAnsi"/>
                <w:bCs/>
                <w:sz w:val="18"/>
                <w:szCs w:val="18"/>
              </w:rPr>
              <w:t>ada u rečenici čuju imenicu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>,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trebaju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D3A9C">
              <w:rPr>
                <w:rFonts w:eastAsia="Calibri" w:cstheme="minorHAnsi"/>
                <w:bCs/>
                <w:sz w:val="18"/>
                <w:szCs w:val="18"/>
              </w:rPr>
              <w:t>pljesnuti, za glagol čučnuti, a kada čuju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D3A9C">
              <w:rPr>
                <w:rFonts w:eastAsia="Calibri" w:cstheme="minorHAnsi"/>
                <w:bCs/>
                <w:sz w:val="18"/>
                <w:szCs w:val="18"/>
              </w:rPr>
              <w:t>pridjev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>,</w:t>
            </w:r>
            <w:r w:rsidRPr="00CD3A9C">
              <w:rPr>
                <w:rFonts w:eastAsia="Calibri" w:cstheme="minorHAnsi"/>
                <w:bCs/>
                <w:sz w:val="18"/>
                <w:szCs w:val="18"/>
              </w:rPr>
              <w:t xml:space="preserve"> pucketati prstima. Igra je na ispadanje i traje dok ne dobije pobjednika.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</w:p>
          <w:p w14:paraId="5D5A1544" w14:textId="0424F701" w:rsidR="00893FC3" w:rsidRDefault="00893FC3" w:rsidP="00F935D7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FA669B">
              <w:rPr>
                <w:rFonts w:eastAsia="Calibri" w:cstheme="minorHAnsi"/>
                <w:b/>
                <w:sz w:val="18"/>
                <w:szCs w:val="18"/>
              </w:rPr>
              <w:t>Rad s udžbenikom:</w:t>
            </w:r>
            <w:r w:rsidR="009D5480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FA669B">
              <w:rPr>
                <w:rFonts w:eastAsia="Calibri" w:cstheme="minorHAnsi"/>
                <w:bCs/>
                <w:sz w:val="18"/>
                <w:szCs w:val="18"/>
              </w:rPr>
              <w:t>Učenici će samostalno uvježbavati sadržaj rješavajući zadatke u udžbeniku.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A669B">
              <w:rPr>
                <w:rFonts w:eastAsia="Calibri" w:cstheme="minorHAnsi"/>
                <w:bCs/>
                <w:sz w:val="18"/>
                <w:szCs w:val="18"/>
              </w:rPr>
              <w:t xml:space="preserve">Učiteljica/učitelj potiče učenike da otvore udžbenik i riješe prvi zadatak. Nakon rješavanja prvog zadatka učenici provjeravaju točnost uratka. Učenici samostalno rješavaju 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i drugi zadatak. Učiteljica/učitelj može pojasniti eventualne nejasnoće, a 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 xml:space="preserve">zatim </w:t>
            </w:r>
            <w:r>
              <w:rPr>
                <w:rFonts w:eastAsia="Calibri" w:cstheme="minorHAnsi"/>
                <w:bCs/>
                <w:sz w:val="18"/>
                <w:szCs w:val="18"/>
              </w:rPr>
              <w:t>učenici rješavaju samostalno</w:t>
            </w:r>
            <w:r w:rsidRPr="00FA669B">
              <w:rPr>
                <w:rFonts w:eastAsia="Calibri" w:cstheme="minorHAnsi"/>
                <w:bCs/>
                <w:sz w:val="18"/>
                <w:szCs w:val="18"/>
              </w:rPr>
              <w:t>. Kada većina učenika riješi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FA669B">
              <w:rPr>
                <w:rFonts w:eastAsia="Calibri" w:cstheme="minorHAnsi"/>
                <w:bCs/>
                <w:sz w:val="18"/>
                <w:szCs w:val="18"/>
              </w:rPr>
              <w:t>zadat</w:t>
            </w:r>
            <w:r>
              <w:rPr>
                <w:rFonts w:eastAsia="Calibri" w:cstheme="minorHAnsi"/>
                <w:bCs/>
                <w:sz w:val="18"/>
                <w:szCs w:val="18"/>
              </w:rPr>
              <w:t>ak</w:t>
            </w:r>
            <w:r w:rsidRPr="00FA669B">
              <w:rPr>
                <w:rFonts w:eastAsia="Calibri" w:cstheme="minorHAnsi"/>
                <w:bCs/>
                <w:sz w:val="18"/>
                <w:szCs w:val="18"/>
              </w:rPr>
              <w:t xml:space="preserve">, učenici 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će zamijeniti udžbenike 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 xml:space="preserve">i vrednovati </w:t>
            </w:r>
            <w:r>
              <w:rPr>
                <w:rFonts w:eastAsia="Calibri" w:cstheme="minorHAnsi"/>
                <w:bCs/>
                <w:sz w:val="18"/>
                <w:szCs w:val="18"/>
              </w:rPr>
              <w:t>točnost uratka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 xml:space="preserve"> svojega para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. </w:t>
            </w:r>
          </w:p>
          <w:p w14:paraId="2E82A2C0" w14:textId="50B5C2C9" w:rsidR="00893FC3" w:rsidRPr="00546CB0" w:rsidRDefault="00893FC3" w:rsidP="00F935D7">
            <w:pPr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Učiteljica/učitelj pripremit</w:t>
            </w:r>
            <w:r w:rsidR="009D5480">
              <w:rPr>
                <w:rFonts w:eastAsia="Calibri" w:cstheme="minorHAnsi"/>
                <w:bCs/>
                <w:sz w:val="18"/>
                <w:szCs w:val="18"/>
              </w:rPr>
              <w:t xml:space="preserve"> će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tablice za vršnjačko vrednovanje.</w:t>
            </w:r>
          </w:p>
          <w:p w14:paraId="78C5A185" w14:textId="65174F6B" w:rsidR="00893FC3" w:rsidRDefault="00893FC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689"/>
              <w:gridCol w:w="1417"/>
              <w:gridCol w:w="1701"/>
              <w:gridCol w:w="1276"/>
            </w:tblGrid>
            <w:tr w:rsidR="00893FC3" w14:paraId="10EE55E9" w14:textId="77777777" w:rsidTr="0044464D">
              <w:tc>
                <w:tcPr>
                  <w:tcW w:w="2689" w:type="dxa"/>
                </w:tcPr>
                <w:p w14:paraId="1F3E9CB1" w14:textId="77777777" w:rsidR="00893FC3" w:rsidRDefault="00893FC3" w:rsidP="00F81B88"/>
              </w:tc>
              <w:tc>
                <w:tcPr>
                  <w:tcW w:w="1417" w:type="dxa"/>
                </w:tcPr>
                <w:p w14:paraId="400DFF67" w14:textId="2B7BF1FF" w:rsidR="00893FC3" w:rsidRDefault="00893FC3" w:rsidP="00F81B88"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318EB1F9" wp14:editId="4A4E6623">
                        <wp:simplePos x="0" y="0"/>
                        <wp:positionH relativeFrom="column">
                          <wp:posOffset>79375</wp:posOffset>
                        </wp:positionH>
                        <wp:positionV relativeFrom="paragraph">
                          <wp:posOffset>53975</wp:posOffset>
                        </wp:positionV>
                        <wp:extent cx="605155" cy="326390"/>
                        <wp:effectExtent l="0" t="0" r="4445" b="0"/>
                        <wp:wrapNone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5155" cy="32639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9D5480">
                    <w:t xml:space="preserve"> </w:t>
                  </w:r>
                  <w:r>
                    <w:t>+</w:t>
                  </w:r>
                </w:p>
              </w:tc>
              <w:tc>
                <w:tcPr>
                  <w:tcW w:w="1701" w:type="dxa"/>
                </w:tcPr>
                <w:p w14:paraId="740BE8BC" w14:textId="5082539C" w:rsidR="00893FC3" w:rsidRDefault="009D5480" w:rsidP="00F81B88">
                  <w:r>
                    <w:t xml:space="preserve">  </w:t>
                  </w:r>
                  <w:r w:rsidR="00893FC3">
                    <w:t xml:space="preserve"> +</w:t>
                  </w:r>
                  <w:r w:rsidR="00893FC3">
                    <w:rPr>
                      <w:noProof/>
                    </w:rPr>
                    <w:drawing>
                      <wp:inline distT="0" distB="0" distL="0" distR="0" wp14:anchorId="3CB12DE6" wp14:editId="743A9A95">
                        <wp:extent cx="391160" cy="348322"/>
                        <wp:effectExtent l="0" t="0" r="8890" b="0"/>
                        <wp:docPr id="2" name="Slika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6003" cy="35263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14:paraId="07EC57BB" w14:textId="32A50E95" w:rsidR="00893FC3" w:rsidRDefault="009D5480" w:rsidP="00F81B88">
                  <w:r>
                    <w:t xml:space="preserve"> </w:t>
                  </w:r>
                  <w:r w:rsidR="00893FC3">
                    <w:t xml:space="preserve"> +</w:t>
                  </w:r>
                  <w:r w:rsidR="00893FC3">
                    <w:rPr>
                      <w:noProof/>
                    </w:rPr>
                    <w:drawing>
                      <wp:inline distT="0" distB="0" distL="0" distR="0" wp14:anchorId="074931A8" wp14:editId="1E02A052">
                        <wp:extent cx="390525" cy="336539"/>
                        <wp:effectExtent l="0" t="0" r="0" b="6985"/>
                        <wp:docPr id="3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5277" cy="34925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93FC3" w14:paraId="40587057" w14:textId="77777777" w:rsidTr="0044464D">
              <w:tc>
                <w:tcPr>
                  <w:tcW w:w="2689" w:type="dxa"/>
                </w:tcPr>
                <w:p w14:paraId="22628F3B" w14:textId="07FEA79C" w:rsidR="00893FC3" w:rsidRDefault="00893FC3" w:rsidP="00F81B88">
                  <w:r>
                    <w:t>IZDVAJA SVE IMENICE</w:t>
                  </w:r>
                </w:p>
              </w:tc>
              <w:tc>
                <w:tcPr>
                  <w:tcW w:w="1417" w:type="dxa"/>
                </w:tcPr>
                <w:p w14:paraId="3A1D9E21" w14:textId="77777777" w:rsidR="00893FC3" w:rsidRDefault="00893FC3" w:rsidP="00F81B88"/>
              </w:tc>
              <w:tc>
                <w:tcPr>
                  <w:tcW w:w="1701" w:type="dxa"/>
                </w:tcPr>
                <w:p w14:paraId="1D482DB5" w14:textId="77777777" w:rsidR="00893FC3" w:rsidRDefault="00893FC3" w:rsidP="00F81B88"/>
              </w:tc>
              <w:tc>
                <w:tcPr>
                  <w:tcW w:w="1276" w:type="dxa"/>
                </w:tcPr>
                <w:p w14:paraId="750E4ACC" w14:textId="77777777" w:rsidR="00893FC3" w:rsidRDefault="00893FC3" w:rsidP="00F81B88"/>
              </w:tc>
            </w:tr>
            <w:tr w:rsidR="00893FC3" w14:paraId="532037C3" w14:textId="77777777" w:rsidTr="0044464D">
              <w:tc>
                <w:tcPr>
                  <w:tcW w:w="2689" w:type="dxa"/>
                </w:tcPr>
                <w:p w14:paraId="1BDA99BE" w14:textId="77777777" w:rsidR="00893FC3" w:rsidRDefault="00893FC3" w:rsidP="00F81B88">
                  <w:r>
                    <w:t>ODREĐUJE ROD I BROJ</w:t>
                  </w:r>
                </w:p>
              </w:tc>
              <w:tc>
                <w:tcPr>
                  <w:tcW w:w="1417" w:type="dxa"/>
                </w:tcPr>
                <w:p w14:paraId="2C48C339" w14:textId="77777777" w:rsidR="00893FC3" w:rsidRDefault="00893FC3" w:rsidP="00F81B88"/>
              </w:tc>
              <w:tc>
                <w:tcPr>
                  <w:tcW w:w="1701" w:type="dxa"/>
                </w:tcPr>
                <w:p w14:paraId="7E763A32" w14:textId="77777777" w:rsidR="00893FC3" w:rsidRDefault="00893FC3" w:rsidP="00F81B88"/>
              </w:tc>
              <w:tc>
                <w:tcPr>
                  <w:tcW w:w="1276" w:type="dxa"/>
                </w:tcPr>
                <w:p w14:paraId="18A37DDD" w14:textId="77777777" w:rsidR="00893FC3" w:rsidRDefault="00893FC3" w:rsidP="00F81B88"/>
              </w:tc>
            </w:tr>
            <w:tr w:rsidR="00893FC3" w14:paraId="20E91B47" w14:textId="77777777" w:rsidTr="0044464D">
              <w:tc>
                <w:tcPr>
                  <w:tcW w:w="2689" w:type="dxa"/>
                </w:tcPr>
                <w:p w14:paraId="160821B0" w14:textId="77777777" w:rsidR="00893FC3" w:rsidRDefault="00893FC3" w:rsidP="00F81B88">
                  <w:r>
                    <w:t>PODCRTAVA SVE GLAGOLE</w:t>
                  </w:r>
                </w:p>
              </w:tc>
              <w:tc>
                <w:tcPr>
                  <w:tcW w:w="1417" w:type="dxa"/>
                </w:tcPr>
                <w:p w14:paraId="51011B5A" w14:textId="77777777" w:rsidR="00893FC3" w:rsidRDefault="00893FC3" w:rsidP="00F81B88"/>
              </w:tc>
              <w:tc>
                <w:tcPr>
                  <w:tcW w:w="1701" w:type="dxa"/>
                </w:tcPr>
                <w:p w14:paraId="3283314D" w14:textId="77777777" w:rsidR="00893FC3" w:rsidRDefault="00893FC3" w:rsidP="00F81B88"/>
              </w:tc>
              <w:tc>
                <w:tcPr>
                  <w:tcW w:w="1276" w:type="dxa"/>
                </w:tcPr>
                <w:p w14:paraId="6E071622" w14:textId="77777777" w:rsidR="00893FC3" w:rsidRDefault="00893FC3" w:rsidP="00F81B88"/>
              </w:tc>
            </w:tr>
            <w:tr w:rsidR="00893FC3" w14:paraId="42A92441" w14:textId="77777777" w:rsidTr="0044464D">
              <w:tc>
                <w:tcPr>
                  <w:tcW w:w="2689" w:type="dxa"/>
                </w:tcPr>
                <w:p w14:paraId="29C82F43" w14:textId="77777777" w:rsidR="00893FC3" w:rsidRDefault="00893FC3" w:rsidP="00F81B88">
                  <w:r>
                    <w:t>ZNA GLAGOLE RADNJE</w:t>
                  </w:r>
                </w:p>
              </w:tc>
              <w:tc>
                <w:tcPr>
                  <w:tcW w:w="1417" w:type="dxa"/>
                </w:tcPr>
                <w:p w14:paraId="7FC9E737" w14:textId="77777777" w:rsidR="00893FC3" w:rsidRDefault="00893FC3" w:rsidP="00F81B88"/>
              </w:tc>
              <w:tc>
                <w:tcPr>
                  <w:tcW w:w="1701" w:type="dxa"/>
                </w:tcPr>
                <w:p w14:paraId="7FB82CED" w14:textId="77777777" w:rsidR="00893FC3" w:rsidRDefault="00893FC3" w:rsidP="00F81B88"/>
              </w:tc>
              <w:tc>
                <w:tcPr>
                  <w:tcW w:w="1276" w:type="dxa"/>
                </w:tcPr>
                <w:p w14:paraId="57A07B5B" w14:textId="77777777" w:rsidR="00893FC3" w:rsidRDefault="00893FC3" w:rsidP="00F81B88"/>
              </w:tc>
            </w:tr>
            <w:tr w:rsidR="00893FC3" w14:paraId="22124285" w14:textId="77777777" w:rsidTr="0044464D">
              <w:tc>
                <w:tcPr>
                  <w:tcW w:w="2689" w:type="dxa"/>
                </w:tcPr>
                <w:p w14:paraId="6DE0B56A" w14:textId="77777777" w:rsidR="00893FC3" w:rsidRDefault="00893FC3" w:rsidP="00F81B88">
                  <w:r>
                    <w:t>PREPOZNAJE PRIDJEVE</w:t>
                  </w:r>
                </w:p>
              </w:tc>
              <w:tc>
                <w:tcPr>
                  <w:tcW w:w="1417" w:type="dxa"/>
                </w:tcPr>
                <w:p w14:paraId="609CA19C" w14:textId="77777777" w:rsidR="00893FC3" w:rsidRDefault="00893FC3" w:rsidP="00F81B88"/>
              </w:tc>
              <w:tc>
                <w:tcPr>
                  <w:tcW w:w="1701" w:type="dxa"/>
                </w:tcPr>
                <w:p w14:paraId="73F0D27B" w14:textId="77777777" w:rsidR="00893FC3" w:rsidRDefault="00893FC3" w:rsidP="00F81B88"/>
              </w:tc>
              <w:tc>
                <w:tcPr>
                  <w:tcW w:w="1276" w:type="dxa"/>
                </w:tcPr>
                <w:p w14:paraId="78C7BFB4" w14:textId="77777777" w:rsidR="00893FC3" w:rsidRDefault="00893FC3" w:rsidP="00F81B88"/>
              </w:tc>
            </w:tr>
          </w:tbl>
          <w:p w14:paraId="31099ACB" w14:textId="25D9CA21" w:rsidR="00893FC3" w:rsidRDefault="00893FC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9882D4A" w14:textId="05E36367" w:rsidR="00893FC3" w:rsidRPr="00546CB0" w:rsidRDefault="00893FC3" w:rsidP="00F935D7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Slijedi zajednička analiza.</w:t>
            </w:r>
          </w:p>
        </w:tc>
        <w:tc>
          <w:tcPr>
            <w:tcW w:w="2835" w:type="dxa"/>
          </w:tcPr>
          <w:p w14:paraId="363510E3" w14:textId="77777777" w:rsidR="00893FC3" w:rsidRDefault="00893FC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A50B1BF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87E3AC5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AB598D5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412201B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7F0CE28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167F87E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98FABA0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3E1E7E" w14:textId="1D937420" w:rsidR="00442E10" w:rsidRPr="00D55823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11" w:anchor="block-1740843" w:history="1">
              <w:r w:rsidRPr="00442E10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Vrste riječi</w:t>
              </w:r>
            </w:hyperlink>
          </w:p>
        </w:tc>
        <w:tc>
          <w:tcPr>
            <w:tcW w:w="2694" w:type="dxa"/>
            <w:vMerge/>
          </w:tcPr>
          <w:p w14:paraId="75F281E5" w14:textId="328C4D07" w:rsidR="00893FC3" w:rsidRPr="00C727F7" w:rsidRDefault="00893FC3" w:rsidP="00C727F7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893FC3" w:rsidRPr="00D55823" w14:paraId="4F546E7B" w14:textId="77777777" w:rsidTr="00A96FE1">
        <w:trPr>
          <w:trHeight w:val="2117"/>
        </w:trPr>
        <w:tc>
          <w:tcPr>
            <w:tcW w:w="9498" w:type="dxa"/>
            <w:gridSpan w:val="4"/>
          </w:tcPr>
          <w:p w14:paraId="636FBC06" w14:textId="77777777" w:rsidR="00893FC3" w:rsidRDefault="00893FC3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08D29FD" w14:textId="01FF68C7" w:rsidR="00893FC3" w:rsidRPr="00442E10" w:rsidRDefault="00442E10" w:rsidP="00442E1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="00893FC3" w:rsidRPr="00442E1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RAZREDNO NATJECANJE </w:t>
            </w:r>
          </w:p>
          <w:p w14:paraId="15332211" w14:textId="39907ABF" w:rsidR="00893FC3" w:rsidRDefault="00893FC3" w:rsidP="0016771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751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: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piše prema predlošcima za ovladavanje gramatičkom i stilističkom normom potrebnom za strukturiranje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slovopisnu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razumije gramatičku kategoriju vrste riječi (imenice, glagoli, pridjevi)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oblikuje rečenice u kojima se poštuju pravila sročnosti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funkcionalno upotrebljava riječi, sintagme i rečenice u skladu s dinamikom učenja s obzirom na jezični razvoj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funkcionalno primjenjuje jezična znanja</w:t>
            </w:r>
          </w:p>
          <w:p w14:paraId="76C1D710" w14:textId="77777777" w:rsidR="00893FC3" w:rsidRPr="00167713" w:rsidRDefault="00893FC3" w:rsidP="0016771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50EC836" w14:textId="5348BF0E" w:rsidR="00893FC3" w:rsidRPr="00167713" w:rsidRDefault="00893FC3" w:rsidP="0016771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5646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 w:rsidR="009D548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dijeli učenike u nekoliko manjih skupina. Svaka skupina treba 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 xml:space="preserve">se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prisjetiti i opisati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 xml:space="preserve">najstrašniji ili najsmješniji događaj koji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 xml:space="preserve"> se dogodio.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Odabrani događaj trebaju napisati na papir, a vrijeme rada je 10 minuta. Zadatak je prilikom pisanja rabiti što više imenica, glagola i pridjeva. 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>Cilj je svake skupine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u svom radu 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>upo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rabiti što više različitih vrsta riječi.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Nakon što</w:t>
            </w:r>
            <w:r w:rsidR="009D548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opi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šu</w:t>
            </w:r>
            <w:r w:rsidR="009D548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 xml:space="preserve">doživljaj,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učenici u skupini trebaju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prebrojit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 xml:space="preserve"> imenice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(mogu ih podcrtati crvenom)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pa obojit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 xml:space="preserve"> prvi grafikon crvenom bojom, zatim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prebroj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>iti</w:t>
            </w:r>
            <w:r w:rsidR="009D548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glagole pa oboj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>iti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>drugi grafikon plavom bojom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 xml:space="preserve"> i na kraju prebroj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>iti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 xml:space="preserve"> pridjeve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 xml:space="preserve"> oboj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>iti</w:t>
            </w:r>
          </w:p>
          <w:p w14:paraId="24AA0301" w14:textId="0830AD0B" w:rsidR="00893FC3" w:rsidRDefault="00893FC3" w:rsidP="0016771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67713">
              <w:rPr>
                <w:rFonts w:ascii="Calibri" w:eastAsia="Calibri" w:hAnsi="Calibri" w:cs="Calibri"/>
                <w:sz w:val="18"/>
                <w:szCs w:val="18"/>
              </w:rPr>
              <w:t>treći grafikon žutom bojom.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Učenici uspoređuju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 xml:space="preserve"> podatke u grafikonima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</w:t>
            </w:r>
            <w:r w:rsidR="009D548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zaključuju</w:t>
            </w:r>
            <w:r w:rsidRPr="00167713">
              <w:rPr>
                <w:rFonts w:ascii="Calibri" w:eastAsia="Calibri" w:hAnsi="Calibri" w:cs="Calibri"/>
                <w:sz w:val="18"/>
                <w:szCs w:val="18"/>
              </w:rPr>
              <w:t xml:space="preserve"> kojih je riječi najviše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4F24C36" w14:textId="2941FABB" w:rsidR="00893FC3" w:rsidRPr="00DE5BC1" w:rsidRDefault="00893FC3" w:rsidP="0016771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D6D4E90" w14:textId="77777777" w:rsidR="00893FC3" w:rsidRDefault="00893FC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1092C96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AAFD13F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22B2585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96CECC8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30CBB56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3ED45AA" w14:textId="77777777" w:rsidR="00442E10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E6282AB" w14:textId="325AE99B" w:rsidR="00442E10" w:rsidRPr="00D55823" w:rsidRDefault="00442E10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12" w:anchor="block-1644716" w:history="1">
              <w:r w:rsidRPr="00442E10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Kviz za kraj!</w:t>
              </w:r>
            </w:hyperlink>
          </w:p>
        </w:tc>
        <w:tc>
          <w:tcPr>
            <w:tcW w:w="2694" w:type="dxa"/>
            <w:vMerge/>
          </w:tcPr>
          <w:p w14:paraId="143BA5CD" w14:textId="77777777" w:rsidR="00893FC3" w:rsidRPr="00EF6439" w:rsidRDefault="00893FC3" w:rsidP="001A581F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893FC3" w:rsidRPr="00D55823" w14:paraId="48F0DB0C" w14:textId="77777777" w:rsidTr="00A96FE1">
        <w:trPr>
          <w:trHeight w:val="2117"/>
        </w:trPr>
        <w:tc>
          <w:tcPr>
            <w:tcW w:w="9498" w:type="dxa"/>
            <w:gridSpan w:val="4"/>
          </w:tcPr>
          <w:p w14:paraId="1674271C" w14:textId="77777777" w:rsidR="00893FC3" w:rsidRPr="00DE5BC1" w:rsidRDefault="00893FC3" w:rsidP="001A58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1C028250" w14:textId="2D35B241" w:rsidR="00893FC3" w:rsidRPr="00442E10" w:rsidRDefault="00442E10" w:rsidP="00442E1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5. </w:t>
            </w:r>
            <w:r w:rsidR="00893FC3" w:rsidRPr="00442E1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PRIČA IZ VREĆICE</w:t>
            </w:r>
          </w:p>
          <w:p w14:paraId="79927F92" w14:textId="3BE50BCB" w:rsidR="00893FC3" w:rsidRPr="00DE5BC1" w:rsidRDefault="00893FC3" w:rsidP="00DE5BC1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DE5BC1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temi,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E5BC1">
              <w:rPr>
                <w:rFonts w:ascii="Calibri" w:eastAsia="Calibri" w:hAnsi="Calibri" w:cs="Calibri"/>
                <w:sz w:val="18"/>
                <w:szCs w:val="18"/>
              </w:rPr>
              <w:t>funkcionalno primjenjuje jezična znanja</w:t>
            </w:r>
          </w:p>
          <w:p w14:paraId="2B722DF5" w14:textId="77777777" w:rsidR="00893FC3" w:rsidRDefault="00893FC3" w:rsidP="00DE5BC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3038B35" w14:textId="47BED507" w:rsidR="00893FC3" w:rsidRPr="00546CB0" w:rsidRDefault="00893FC3" w:rsidP="00546C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DE5BC1">
              <w:rPr>
                <w:rFonts w:ascii="Calibri" w:eastAsia="Calibri" w:hAnsi="Calibri" w:cs="Calibri"/>
                <w:sz w:val="18"/>
                <w:szCs w:val="18"/>
              </w:rPr>
              <w:t>Učiteljica/učitelj priprema „čarobnu vrećicu“ u kojoj se nalaze razni predmeti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 Učenici su i dalje podijeljeni u skupine. Po jedan</w:t>
            </w:r>
            <w:r w:rsidRPr="00DE5BC1">
              <w:rPr>
                <w:rFonts w:ascii="Calibri" w:eastAsia="Calibri" w:hAnsi="Calibri" w:cs="Calibri"/>
                <w:sz w:val="18"/>
                <w:szCs w:val="18"/>
              </w:rPr>
              <w:t xml:space="preserve"> učenik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iz svake skupine </w:t>
            </w:r>
            <w:r w:rsidRPr="00DE5BC1">
              <w:rPr>
                <w:rFonts w:ascii="Calibri" w:eastAsia="Calibri" w:hAnsi="Calibri" w:cs="Calibri"/>
                <w:sz w:val="18"/>
                <w:szCs w:val="18"/>
              </w:rPr>
              <w:t>izvlači jedan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E5BC1">
              <w:rPr>
                <w:rFonts w:ascii="Calibri" w:eastAsia="Calibri" w:hAnsi="Calibri" w:cs="Calibri"/>
                <w:sz w:val="18"/>
                <w:szCs w:val="18"/>
              </w:rPr>
              <w:t>predmet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DE5BC1">
              <w:rPr>
                <w:rFonts w:ascii="Calibri" w:eastAsia="Calibri" w:hAnsi="Calibri" w:cs="Calibri"/>
                <w:sz w:val="18"/>
                <w:szCs w:val="18"/>
              </w:rPr>
              <w:t>Kada svi učenici izvuku svoj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E5BC1">
              <w:rPr>
                <w:rFonts w:ascii="Calibri" w:eastAsia="Calibri" w:hAnsi="Calibri" w:cs="Calibri"/>
                <w:sz w:val="18"/>
                <w:szCs w:val="18"/>
              </w:rPr>
              <w:t>predmet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DE5BC1">
              <w:rPr>
                <w:rFonts w:ascii="Calibri" w:eastAsia="Calibri" w:hAnsi="Calibri" w:cs="Calibri"/>
                <w:sz w:val="18"/>
                <w:szCs w:val="18"/>
              </w:rPr>
              <w:t xml:space="preserve"> svak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 skupina smišlja rečenicu u kojoj će upotrijebiti ime tog predmeta (imenica, npr. gumica), neki glagol i pridjev povezan 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>s tim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predmet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>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 Rečenic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mora biti smislena.</w:t>
            </w:r>
            <w:r w:rsidR="009D5480">
              <w:rPr>
                <w:rFonts w:ascii="Calibri" w:eastAsia="Calibri" w:hAnsi="Calibri" w:cs="Calibri"/>
                <w:sz w:val="18"/>
                <w:szCs w:val="18"/>
              </w:rPr>
              <w:t xml:space="preserve"> Ako</w:t>
            </w:r>
            <w:r w:rsidRPr="00546CB0">
              <w:rPr>
                <w:rFonts w:ascii="Calibri" w:eastAsia="Calibri" w:hAnsi="Calibri" w:cs="Calibri"/>
                <w:sz w:val="18"/>
                <w:szCs w:val="18"/>
              </w:rPr>
              <w:t xml:space="preserve"> je moguće, učenici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iz drugih skupina trebaj</w:t>
            </w:r>
            <w:r w:rsidRPr="00546CB0">
              <w:rPr>
                <w:rFonts w:ascii="Calibri" w:eastAsia="Calibri" w:hAnsi="Calibri" w:cs="Calibri"/>
                <w:sz w:val="18"/>
                <w:szCs w:val="18"/>
              </w:rPr>
              <w:t xml:space="preserve">u pokušati nadovezati rečenice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sa svojim predmetima </w:t>
            </w:r>
            <w:r w:rsidRPr="00546CB0">
              <w:rPr>
                <w:rFonts w:ascii="Calibri" w:eastAsia="Calibri" w:hAnsi="Calibri" w:cs="Calibri"/>
                <w:sz w:val="18"/>
                <w:szCs w:val="18"/>
              </w:rPr>
              <w:t>kako bi dobili priču.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(Npr. 1. Ivanova </w:t>
            </w:r>
            <w:r w:rsidRPr="00546CB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gumica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je stara, ali još dobro briše. 2. Uz gumicu u šarenoj </w:t>
            </w:r>
            <w:r w:rsidRPr="00546CB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pernici</w:t>
            </w:r>
            <w:r w:rsidRPr="00546CB0">
              <w:rPr>
                <w:rFonts w:ascii="Calibri" w:eastAsia="Calibri" w:hAnsi="Calibri" w:cs="Calibri"/>
                <w:sz w:val="18"/>
                <w:szCs w:val="18"/>
              </w:rPr>
              <w:t xml:space="preserve"> nalaze 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 xml:space="preserve">se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 druge Ivanove stvari…)</w:t>
            </w:r>
            <w:r w:rsidR="00A420B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Igra traje dok se ne iskoriste svi predmeti iz vrećice.</w:t>
            </w:r>
          </w:p>
          <w:p w14:paraId="1A224FC6" w14:textId="3F22CC5A" w:rsidR="00893FC3" w:rsidRPr="00DE5BC1" w:rsidRDefault="00893FC3" w:rsidP="00DE5BC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315B3194" w14:textId="77777777" w:rsidR="00893FC3" w:rsidRPr="00D55823" w:rsidRDefault="00893FC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1289BBA8" w14:textId="77777777" w:rsidR="00893FC3" w:rsidRPr="00EF6439" w:rsidRDefault="00893FC3" w:rsidP="001A581F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</w:tbl>
    <w:p w14:paraId="751F49AF" w14:textId="1F89722B" w:rsidR="002B5B4B" w:rsidRDefault="002B5B4B" w:rsidP="002B5B4B"/>
    <w:p w14:paraId="4C5AB915" w14:textId="77777777" w:rsidR="008A2AEB" w:rsidRDefault="008A2AEB"/>
    <w:sectPr w:rsidR="008A2AEB" w:rsidSect="008A2AE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B5190"/>
    <w:multiLevelType w:val="hybridMultilevel"/>
    <w:tmpl w:val="CA548F1E"/>
    <w:lvl w:ilvl="0" w:tplc="FF4822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A2AB9"/>
    <w:multiLevelType w:val="hybridMultilevel"/>
    <w:tmpl w:val="F092C1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42F93"/>
    <w:multiLevelType w:val="hybridMultilevel"/>
    <w:tmpl w:val="C1205F42"/>
    <w:lvl w:ilvl="0" w:tplc="A57CFDCA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076CF"/>
    <w:multiLevelType w:val="hybridMultilevel"/>
    <w:tmpl w:val="9FB0C7A2"/>
    <w:lvl w:ilvl="0" w:tplc="B02628DA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12648"/>
    <w:rsid w:val="0014007D"/>
    <w:rsid w:val="0015646B"/>
    <w:rsid w:val="00167713"/>
    <w:rsid w:val="00172B45"/>
    <w:rsid w:val="001A581F"/>
    <w:rsid w:val="0023795C"/>
    <w:rsid w:val="00291DE5"/>
    <w:rsid w:val="002B5B4B"/>
    <w:rsid w:val="002F06DE"/>
    <w:rsid w:val="00303AEE"/>
    <w:rsid w:val="00437421"/>
    <w:rsid w:val="00442E10"/>
    <w:rsid w:val="00462A1D"/>
    <w:rsid w:val="0049058D"/>
    <w:rsid w:val="00546CB0"/>
    <w:rsid w:val="00552F63"/>
    <w:rsid w:val="005C208F"/>
    <w:rsid w:val="005E689F"/>
    <w:rsid w:val="00612EA7"/>
    <w:rsid w:val="0066304E"/>
    <w:rsid w:val="00695B0B"/>
    <w:rsid w:val="007640F8"/>
    <w:rsid w:val="007A0954"/>
    <w:rsid w:val="008549D5"/>
    <w:rsid w:val="00893FC3"/>
    <w:rsid w:val="008A2AEB"/>
    <w:rsid w:val="008B572B"/>
    <w:rsid w:val="008E77F5"/>
    <w:rsid w:val="00963C79"/>
    <w:rsid w:val="009D5480"/>
    <w:rsid w:val="009F490F"/>
    <w:rsid w:val="00A420B4"/>
    <w:rsid w:val="00AE1DDF"/>
    <w:rsid w:val="00B31792"/>
    <w:rsid w:val="00B47F58"/>
    <w:rsid w:val="00B67511"/>
    <w:rsid w:val="00BB4866"/>
    <w:rsid w:val="00BE225B"/>
    <w:rsid w:val="00C26814"/>
    <w:rsid w:val="00C727F7"/>
    <w:rsid w:val="00CB4C7F"/>
    <w:rsid w:val="00CC3A9B"/>
    <w:rsid w:val="00CD3A9C"/>
    <w:rsid w:val="00DB2A14"/>
    <w:rsid w:val="00DE5BC1"/>
    <w:rsid w:val="00DE7D79"/>
    <w:rsid w:val="00E673C1"/>
    <w:rsid w:val="00EC33A0"/>
    <w:rsid w:val="00EE4B06"/>
    <w:rsid w:val="00F81B88"/>
    <w:rsid w:val="00F935D7"/>
    <w:rsid w:val="00FA669B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B24D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A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581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225B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42E1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42E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46428/59585.html" TargetMode="External"/><Relationship Id="rId12" Type="http://schemas.openxmlformats.org/officeDocument/2006/relationships/hyperlink" Target="https://hr.izzi.digital/DOS/46428/5958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6428/59585.html" TargetMode="External"/><Relationship Id="rId11" Type="http://schemas.openxmlformats.org/officeDocument/2006/relationships/hyperlink" Target="https://hr.izzi.digital/DOS/46428/59585.html" TargetMode="External"/><Relationship Id="rId5" Type="http://schemas.openxmlformats.org/officeDocument/2006/relationships/hyperlink" Target="https://hr.izzi.digital/DOS/46428/59585.html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1228</Words>
  <Characters>7001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5</cp:revision>
  <dcterms:created xsi:type="dcterms:W3CDTF">2020-12-27T09:20:00Z</dcterms:created>
  <dcterms:modified xsi:type="dcterms:W3CDTF">2021-04-21T19:48:00Z</dcterms:modified>
</cp:coreProperties>
</file>