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AB3AF" w14:textId="77777777" w:rsidR="00276DCD" w:rsidRPr="000D5C97" w:rsidRDefault="00276DCD" w:rsidP="000D5C97">
      <w:pPr>
        <w:spacing w:after="0" w:line="240" w:lineRule="auto"/>
        <w:rPr>
          <w:rFonts w:ascii="Calibri" w:eastAsia="Calibri" w:hAnsi="Calibri" w:cs="Calibri"/>
          <w:b/>
        </w:rPr>
      </w:pPr>
      <w:bookmarkStart w:id="0" w:name="_Hlk43290933"/>
      <w:r w:rsidRPr="000D5C97">
        <w:rPr>
          <w:rFonts w:ascii="Calibri" w:eastAsia="Calibri" w:hAnsi="Calibri" w:cs="Calibri"/>
          <w:b/>
        </w:rPr>
        <w:t>PRIJEDLOG PRIPREME ZA IZVOĐENJE NASTAVE HRVATSKOGA JEZIKA</w:t>
      </w:r>
    </w:p>
    <w:p w14:paraId="001C1147" w14:textId="77777777" w:rsidR="00276DCD" w:rsidRPr="000D5C97" w:rsidRDefault="00276DCD" w:rsidP="000D5C97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4063" w:type="dxa"/>
        <w:tblInd w:w="-318" w:type="dxa"/>
        <w:tblLook w:val="04A0" w:firstRow="1" w:lastRow="0" w:firstColumn="1" w:lastColumn="0" w:noHBand="0" w:noVBand="1"/>
      </w:tblPr>
      <w:tblGrid>
        <w:gridCol w:w="2305"/>
        <w:gridCol w:w="3043"/>
        <w:gridCol w:w="1357"/>
        <w:gridCol w:w="2003"/>
        <w:gridCol w:w="2664"/>
        <w:gridCol w:w="2691"/>
      </w:tblGrid>
      <w:tr w:rsidR="00276DCD" w:rsidRPr="000D5C97" w14:paraId="51A7C963" w14:textId="77777777" w:rsidTr="00092187">
        <w:tc>
          <w:tcPr>
            <w:tcW w:w="5842" w:type="dxa"/>
            <w:gridSpan w:val="2"/>
            <w:shd w:val="clear" w:color="auto" w:fill="D9E2F3"/>
          </w:tcPr>
          <w:p w14:paraId="4FCF75F5" w14:textId="77777777" w:rsidR="00276DCD" w:rsidRPr="000D5C97" w:rsidRDefault="00276DCD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4ED1570" w14:textId="42933EA4" w:rsidR="00276DCD" w:rsidRPr="000D5C97" w:rsidRDefault="00276DCD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6804" w:type="dxa"/>
            <w:gridSpan w:val="3"/>
            <w:shd w:val="clear" w:color="auto" w:fill="D9E2F3"/>
          </w:tcPr>
          <w:p w14:paraId="765C6551" w14:textId="77777777" w:rsidR="00276DCD" w:rsidRPr="000D5C97" w:rsidRDefault="00276DCD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</w:p>
        </w:tc>
      </w:tr>
      <w:tr w:rsidR="00276DCD" w:rsidRPr="000D5C97" w14:paraId="58D49638" w14:textId="77777777" w:rsidTr="00092187">
        <w:tc>
          <w:tcPr>
            <w:tcW w:w="2440" w:type="dxa"/>
          </w:tcPr>
          <w:p w14:paraId="2CE5C9A3" w14:textId="77777777" w:rsidR="00276DCD" w:rsidRPr="000D5C97" w:rsidRDefault="00276DCD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1623" w:type="dxa"/>
            <w:gridSpan w:val="5"/>
          </w:tcPr>
          <w:p w14:paraId="0675308F" w14:textId="77777777" w:rsidR="00276DCD" w:rsidRPr="000D5C97" w:rsidRDefault="00276DCD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76DCD" w:rsidRPr="000D5C97" w14:paraId="6FDC47C7" w14:textId="77777777" w:rsidTr="00092187">
        <w:tc>
          <w:tcPr>
            <w:tcW w:w="2440" w:type="dxa"/>
          </w:tcPr>
          <w:p w14:paraId="6E93CBFD" w14:textId="77777777" w:rsidR="00276DCD" w:rsidRPr="000D5C97" w:rsidRDefault="00276DCD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1623" w:type="dxa"/>
            <w:gridSpan w:val="5"/>
          </w:tcPr>
          <w:p w14:paraId="3705AD76" w14:textId="542894DC" w:rsidR="00276DCD" w:rsidRPr="000D5C97" w:rsidRDefault="00276DCD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276DCD" w:rsidRPr="000D5C97" w14:paraId="50053DAE" w14:textId="77777777" w:rsidTr="00092187">
        <w:tc>
          <w:tcPr>
            <w:tcW w:w="2440" w:type="dxa"/>
          </w:tcPr>
          <w:p w14:paraId="324FB0AB" w14:textId="77777777" w:rsidR="00276DCD" w:rsidRPr="000D5C97" w:rsidRDefault="00276DCD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1623" w:type="dxa"/>
            <w:gridSpan w:val="5"/>
          </w:tcPr>
          <w:p w14:paraId="363951D6" w14:textId="0ABB8978" w:rsidR="00276DCD" w:rsidRPr="000D5C97" w:rsidRDefault="00276DCD" w:rsidP="000D5C9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b/>
                <w:sz w:val="18"/>
                <w:szCs w:val="18"/>
              </w:rPr>
              <w:t>Imenice, glagoli i pridjevi – vježbanje i ponavljanje</w:t>
            </w:r>
          </w:p>
        </w:tc>
      </w:tr>
      <w:tr w:rsidR="00276DCD" w:rsidRPr="000D5C97" w14:paraId="24ED4DB1" w14:textId="77777777" w:rsidTr="00092187">
        <w:trPr>
          <w:trHeight w:val="3691"/>
        </w:trPr>
        <w:tc>
          <w:tcPr>
            <w:tcW w:w="2440" w:type="dxa"/>
          </w:tcPr>
          <w:p w14:paraId="741C2C3A" w14:textId="77777777" w:rsidR="00276DCD" w:rsidRPr="000D5C97" w:rsidRDefault="00276DCD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77D99C1C" w14:textId="77777777" w:rsidR="00276DCD" w:rsidRPr="000D5C97" w:rsidRDefault="00276DCD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623" w:type="dxa"/>
            <w:gridSpan w:val="5"/>
          </w:tcPr>
          <w:p w14:paraId="4E617725" w14:textId="4A0C2274" w:rsidR="00276DCD" w:rsidRPr="000D5C97" w:rsidRDefault="00276DCD" w:rsidP="000D5C9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</w:t>
            </w:r>
            <w:r w:rsid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Učenik razgovara i govori u skladu s komunikacijskom situacijom.</w:t>
            </w:r>
          </w:p>
          <w:p w14:paraId="7774E486" w14:textId="4E92A9FC" w:rsidR="00276DCD" w:rsidRPr="000D5C97" w:rsidRDefault="00276DCD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41A3ADD" w14:textId="356AF0A0" w:rsidR="00276DCD" w:rsidRPr="000D5C97" w:rsidRDefault="00276DCD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primjenjuje nove riječi u komunikacijskoj situaciji</w:t>
            </w:r>
          </w:p>
          <w:p w14:paraId="6C45A1DB" w14:textId="6EF95D23" w:rsidR="007B2124" w:rsidRPr="000D5C97" w:rsidRDefault="00276DCD" w:rsidP="000D5C9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5. Učenik oblikuje tekst primjenjujući znanja o imenicama, glagolima i pridjevima uvažavajući gramatička i pravopisna pravila.</w:t>
            </w:r>
            <w:r w:rsid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0909047C" w14:textId="39542614" w:rsidR="00276DCD" w:rsidRPr="000D5C97" w:rsidRDefault="00276DCD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razumije gramatičku kategoriju vrste riječi (imenice, glagoli, pridjevi)</w:t>
            </w:r>
          </w:p>
          <w:p w14:paraId="39FDB8B4" w14:textId="77777777" w:rsidR="00276DCD" w:rsidRPr="000D5C97" w:rsidRDefault="00276DCD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pravilno upotrebljava broj i rod imenica i pridjeva koji se s njom slažu na oglednim primjerima</w:t>
            </w:r>
          </w:p>
          <w:p w14:paraId="55A398F2" w14:textId="77777777" w:rsidR="00276DCD" w:rsidRPr="000D5C97" w:rsidRDefault="00276DCD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točno oblikuje prošlo, sadašnje i buduće vrijeme</w:t>
            </w:r>
          </w:p>
          <w:p w14:paraId="002F67AA" w14:textId="77777777" w:rsidR="00276DCD" w:rsidRPr="000D5C97" w:rsidRDefault="00276DCD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točno oblikuje posvojne pridjeve</w:t>
            </w:r>
          </w:p>
          <w:p w14:paraId="35A89FE1" w14:textId="77777777" w:rsidR="00276DCD" w:rsidRPr="000D5C97" w:rsidRDefault="00276DCD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oblikuje rečenice u kojima se poštuju pravila sročnosti</w:t>
            </w:r>
          </w:p>
          <w:p w14:paraId="210A3A48" w14:textId="77777777" w:rsidR="00276DCD" w:rsidRPr="000D5C97" w:rsidRDefault="00276DCD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funkcionalno upotrebljava riječi, sintagme i rečenice u skladu s dinamikom učenja s obzirom na jezični razvoj</w:t>
            </w:r>
          </w:p>
          <w:p w14:paraId="33CF06A6" w14:textId="130C7F42" w:rsidR="00276DCD" w:rsidRPr="000D5C97" w:rsidRDefault="00276DCD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funkcionalno primjenjuje jezična znanja</w:t>
            </w:r>
          </w:p>
          <w:p w14:paraId="617AC9A9" w14:textId="400B0713" w:rsidR="00276DCD" w:rsidRPr="000D5C97" w:rsidRDefault="00276DCD" w:rsidP="000D5C9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Učenik piše tekstove prema jednostavnoj strukturi.</w:t>
            </w:r>
          </w:p>
          <w:p w14:paraId="655BD65C" w14:textId="77777777" w:rsidR="00F97989" w:rsidRPr="000D5C97" w:rsidRDefault="00F97989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piše ogledne i česte pridjeve (opisne, </w:t>
            </w:r>
            <w:proofErr w:type="spellStart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gradivne</w:t>
            </w:r>
            <w:proofErr w:type="spellEnd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 posvojne pridjeve na -</w:t>
            </w:r>
            <w:proofErr w:type="spellStart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čki</w:t>
            </w:r>
            <w:proofErr w:type="spellEnd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ćki</w:t>
            </w:r>
            <w:proofErr w:type="spellEnd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ski</w:t>
            </w:r>
            <w:proofErr w:type="spellEnd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ški</w:t>
            </w:r>
            <w:proofErr w:type="spellEnd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)</w:t>
            </w:r>
          </w:p>
          <w:p w14:paraId="0F3B7D5D" w14:textId="77777777" w:rsidR="00F97989" w:rsidRPr="000D5C97" w:rsidRDefault="00F97989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točno piše posvojne pridjeve izvedene od vlastitih imena</w:t>
            </w:r>
          </w:p>
          <w:p w14:paraId="58C7001A" w14:textId="0B647E7B" w:rsidR="00F97989" w:rsidRPr="000D5C97" w:rsidRDefault="00F97989" w:rsidP="000D5C97">
            <w:pPr>
              <w:textAlignment w:val="baseline"/>
              <w:rPr>
                <w:rFonts w:ascii="Minion Pro Cond" w:eastAsia="Times New Roman" w:hAnsi="Minion Pro Cond" w:cs="Times New Roman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čitkost</w:t>
            </w:r>
          </w:p>
          <w:p w14:paraId="7246E5DD" w14:textId="5A6FE5E2" w:rsidR="00276DCD" w:rsidRPr="000D5C97" w:rsidRDefault="00276DCD" w:rsidP="000D5C9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</w:tc>
      </w:tr>
      <w:tr w:rsidR="00276DCD" w:rsidRPr="000D5C97" w14:paraId="5471C949" w14:textId="77777777" w:rsidTr="00092187">
        <w:tc>
          <w:tcPr>
            <w:tcW w:w="9498" w:type="dxa"/>
            <w:gridSpan w:val="4"/>
          </w:tcPr>
          <w:p w14:paraId="3ECA4343" w14:textId="77777777" w:rsidR="00276DCD" w:rsidRPr="000D5C97" w:rsidRDefault="00276DCD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70833183" w14:textId="77777777" w:rsidR="00276DCD" w:rsidRPr="000D5C97" w:rsidRDefault="00276DCD" w:rsidP="000D5C97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740F5610" w14:textId="77777777" w:rsidR="00276DCD" w:rsidRPr="000D5C97" w:rsidRDefault="00276DCD" w:rsidP="000D5C9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1730" w:type="dxa"/>
          </w:tcPr>
          <w:p w14:paraId="0B659E2D" w14:textId="77777777" w:rsidR="00276DCD" w:rsidRPr="000D5C97" w:rsidRDefault="00276DCD" w:rsidP="000D5C9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0D5C97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0D5C9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0D5C97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0D5C9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0D5C97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0D5C9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0D5C97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0D5C9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0D5C97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0D5C97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0D5C9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0D5C97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0D5C97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0D5C9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276DCD" w:rsidRPr="000D5C97" w14:paraId="0C2B0380" w14:textId="77777777" w:rsidTr="00092187">
        <w:trPr>
          <w:trHeight w:val="2117"/>
        </w:trPr>
        <w:tc>
          <w:tcPr>
            <w:tcW w:w="9498" w:type="dxa"/>
            <w:gridSpan w:val="4"/>
          </w:tcPr>
          <w:p w14:paraId="2C43E46A" w14:textId="26064BA8" w:rsidR="00276DCD" w:rsidRDefault="00F97989" w:rsidP="000D5C9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="007B2124" w:rsidRPr="000D5C9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TOČNOST I BRZINA JE VRLINA</w:t>
            </w:r>
          </w:p>
          <w:p w14:paraId="5A913948" w14:textId="77777777" w:rsidR="000D5C97" w:rsidRPr="000D5C97" w:rsidRDefault="000D5C97" w:rsidP="000D5C9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679A8EE" w14:textId="784627B7" w:rsidR="007B2124" w:rsidRDefault="007B2124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0D5C97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razumije gramatičku kategoriju vrste riječi (imenice, glagoli, pridjevi)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razgovara i govori prema zadanoj ili slobodnoj temi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66E9536" w14:textId="77777777" w:rsidR="000D5C97" w:rsidRPr="000D5C97" w:rsidRDefault="000D5C97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8377962" w14:textId="71FD9FC3" w:rsidR="007B2124" w:rsidRPr="000D5C97" w:rsidRDefault="007B2124" w:rsidP="000D5C9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072638F9" w14:textId="46D6F5E4" w:rsidR="006D1932" w:rsidRPr="000D5C97" w:rsidRDefault="007B2124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Komunikacijska situacija: Učiteljica/učitelj pita učenike koje vrste riječi poznaju. Što su imenice? Po čemu se razlikuju opće i vlastite imenice? Recite imenicu ženskog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roda u množini; imenicu srednjeg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roda u jednini i sl. Uz koju vrstu riječi stoje pridjevi? Na koja pitanja odgovaraju posvojni pridjevi? Koji pridjevi odgovaraju na pitanje kakvo je nešto? Reci jedan </w:t>
            </w:r>
            <w:proofErr w:type="spellStart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gradivni</w:t>
            </w:r>
            <w:proofErr w:type="spellEnd"/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pridjev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Na koje pitanje odgovara? Kako zovemo riječi kojima izričemo radnju, stanje i zbivanje? Reci jedan glagol stanja u sadašnjem vremenu, glagol zbivanja u prošlom vremenu i glagol radnje u budućem vremenu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628C345" w14:textId="77777777" w:rsidR="004C2333" w:rsidRDefault="006D1932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Nakon usmenog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ponavljanja igra se jezična igra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Učiteljica/učitelj u vremenu od </w:t>
            </w:r>
            <w:r w:rsidR="000C52FE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npr.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2 min (mjeri se zapornim satom) brzo izgovara imenice, glagole i pridjeve, a učenici u tablicu koju su nacrtali upisuju plus za svaku vrstu riječi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koju prepoznaju. Učitelj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ica/učitelj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govori npr. listovi, zelenilo, trčat ću, sporo, plivanje… Pobjednik je učenik koji je točno prepoznao najviše riječi</w:t>
            </w:r>
            <w:r w:rsidR="000C52FE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92E0C52" w14:textId="1B8E1E2F" w:rsidR="006D1932" w:rsidRPr="000D5C97" w:rsidRDefault="000C52FE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0DE50591" w14:textId="00326FC2" w:rsidR="006D1932" w:rsidRPr="000D5C97" w:rsidRDefault="006D1932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sz w:val="18"/>
                <w:szCs w:val="18"/>
              </w:rPr>
              <w:t>Primjer tablice</w:t>
            </w: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1192"/>
              <w:gridCol w:w="2551"/>
            </w:tblGrid>
            <w:tr w:rsidR="006D1932" w:rsidRPr="000D5C97" w14:paraId="15B52558" w14:textId="77777777" w:rsidTr="006D1932">
              <w:tc>
                <w:tcPr>
                  <w:tcW w:w="1192" w:type="dxa"/>
                </w:tcPr>
                <w:p w14:paraId="4991E8D0" w14:textId="6D72F892" w:rsidR="006D1932" w:rsidRPr="000D5C97" w:rsidRDefault="006D1932" w:rsidP="000D5C97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D5C97">
                    <w:rPr>
                      <w:rFonts w:ascii="Calibri" w:eastAsia="Calibri" w:hAnsi="Calibri" w:cs="Calibri"/>
                      <w:sz w:val="18"/>
                      <w:szCs w:val="18"/>
                    </w:rPr>
                    <w:t>IMENICE</w:t>
                  </w:r>
                </w:p>
              </w:tc>
              <w:tc>
                <w:tcPr>
                  <w:tcW w:w="2551" w:type="dxa"/>
                </w:tcPr>
                <w:p w14:paraId="7D9D46E1" w14:textId="20CCD2AB" w:rsidR="006D1932" w:rsidRPr="000D5C97" w:rsidRDefault="006D1932" w:rsidP="000D5C97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D5C97">
                    <w:rPr>
                      <w:rFonts w:ascii="Calibri" w:eastAsia="Calibri" w:hAnsi="Calibri" w:cs="Calibri"/>
                      <w:sz w:val="18"/>
                      <w:szCs w:val="18"/>
                    </w:rPr>
                    <w:t>+++</w:t>
                  </w:r>
                </w:p>
              </w:tc>
            </w:tr>
            <w:tr w:rsidR="006D1932" w:rsidRPr="000D5C97" w14:paraId="2DE22994" w14:textId="77777777" w:rsidTr="006D1932">
              <w:tc>
                <w:tcPr>
                  <w:tcW w:w="1192" w:type="dxa"/>
                </w:tcPr>
                <w:p w14:paraId="61666155" w14:textId="18C427ED" w:rsidR="006D1932" w:rsidRPr="000D5C97" w:rsidRDefault="006D1932" w:rsidP="000D5C97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D5C97">
                    <w:rPr>
                      <w:rFonts w:ascii="Calibri" w:eastAsia="Calibri" w:hAnsi="Calibri" w:cs="Calibri"/>
                      <w:sz w:val="18"/>
                      <w:szCs w:val="18"/>
                    </w:rPr>
                    <w:t>GLAGOLI</w:t>
                  </w:r>
                </w:p>
              </w:tc>
              <w:tc>
                <w:tcPr>
                  <w:tcW w:w="2551" w:type="dxa"/>
                </w:tcPr>
                <w:p w14:paraId="2FB0D4D8" w14:textId="6CBABF76" w:rsidR="006D1932" w:rsidRPr="000D5C97" w:rsidRDefault="006D1932" w:rsidP="000D5C97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D5C97">
                    <w:rPr>
                      <w:rFonts w:ascii="Calibri" w:eastAsia="Calibri" w:hAnsi="Calibri" w:cs="Calibri"/>
                      <w:sz w:val="18"/>
                      <w:szCs w:val="18"/>
                    </w:rPr>
                    <w:t>+</w:t>
                  </w:r>
                </w:p>
              </w:tc>
            </w:tr>
            <w:tr w:rsidR="006D1932" w:rsidRPr="000D5C97" w14:paraId="2B4CCE74" w14:textId="77777777" w:rsidTr="006D1932">
              <w:tc>
                <w:tcPr>
                  <w:tcW w:w="1192" w:type="dxa"/>
                </w:tcPr>
                <w:p w14:paraId="5861D4B4" w14:textId="50D2EF4A" w:rsidR="006D1932" w:rsidRPr="000D5C97" w:rsidRDefault="006D1932" w:rsidP="000D5C97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D5C97">
                    <w:rPr>
                      <w:rFonts w:ascii="Calibri" w:eastAsia="Calibri" w:hAnsi="Calibri" w:cs="Calibri"/>
                      <w:sz w:val="18"/>
                      <w:szCs w:val="18"/>
                    </w:rPr>
                    <w:t>PRIDJEVI</w:t>
                  </w:r>
                </w:p>
              </w:tc>
              <w:tc>
                <w:tcPr>
                  <w:tcW w:w="2551" w:type="dxa"/>
                </w:tcPr>
                <w:p w14:paraId="3C29D13C" w14:textId="53500DCC" w:rsidR="006D1932" w:rsidRPr="000D5C97" w:rsidRDefault="006D1932" w:rsidP="000D5C97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D5C97">
                    <w:rPr>
                      <w:rFonts w:ascii="Calibri" w:eastAsia="Calibri" w:hAnsi="Calibri" w:cs="Calibri"/>
                      <w:sz w:val="18"/>
                      <w:szCs w:val="18"/>
                    </w:rPr>
                    <w:t>+</w:t>
                  </w:r>
                </w:p>
              </w:tc>
            </w:tr>
          </w:tbl>
          <w:p w14:paraId="661C74F3" w14:textId="2729F93A" w:rsidR="007B2124" w:rsidRPr="000D5C97" w:rsidRDefault="007B2124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04AE0AB" w14:textId="283B21AE" w:rsidR="000C52FE" w:rsidRDefault="000C52FE" w:rsidP="000D5C9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2. PONAVLJANJE JE MAJKA ZNANJA</w:t>
            </w:r>
          </w:p>
          <w:p w14:paraId="7F87DCDC" w14:textId="77777777" w:rsidR="000D5C97" w:rsidRPr="000D5C97" w:rsidRDefault="000D5C97" w:rsidP="000D5C9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1703F9D" w14:textId="2FD50317" w:rsidR="00776E02" w:rsidRDefault="000C52FE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aktivnosti:</w:t>
            </w:r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razumije gramatičku kategoriju vrste riječi (imenice, glagoli, pridjevi)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pravilno upotrebljava broj i rod imenica i pridjeva koji se s njom slažu na oglednim primjerima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točno oblikuje prošlo, sadašnje i buduće vrijeme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točno oblikuje posvojne pridjeve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oblikuje rečenice u kojima se poštuju pravila sročnosti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funkcionalno upotrebljava riječi, sintagme i rečenice u skladu s dinamikom učenja s obzirom na jezični razvoj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funkcionalno primjenjuje jezična znanja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piše ogledne i česte pridjeve (opisne, </w:t>
            </w:r>
            <w:proofErr w:type="spellStart"/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gradivne</w:t>
            </w:r>
            <w:proofErr w:type="spellEnd"/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 posvojne pridjeve na -</w:t>
            </w:r>
            <w:proofErr w:type="spellStart"/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čki</w:t>
            </w:r>
            <w:proofErr w:type="spellEnd"/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ćki</w:t>
            </w:r>
            <w:proofErr w:type="spellEnd"/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ski</w:t>
            </w:r>
            <w:proofErr w:type="spellEnd"/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-</w:t>
            </w:r>
            <w:proofErr w:type="spellStart"/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ški</w:t>
            </w:r>
            <w:proofErr w:type="spellEnd"/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);</w:t>
            </w:r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točno piše posvojne pridjeve izvedene od vlastitih imena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776E02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9E447D9" w14:textId="77777777" w:rsidR="000D5C97" w:rsidRPr="000D5C97" w:rsidRDefault="000D5C97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CF3D2F3" w14:textId="27A366FD" w:rsidR="00776E02" w:rsidRPr="000D5C97" w:rsidRDefault="00776E02" w:rsidP="000D5C9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4073EA05" w14:textId="07D4865A" w:rsidR="00776E02" w:rsidRPr="000D5C97" w:rsidRDefault="00776E02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može učenicima izreći poslovicu </w:t>
            </w:r>
            <w:r w:rsidRPr="000D5C97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lang w:eastAsia="hr-HR"/>
              </w:rPr>
              <w:t>Ponavljanje je majka znanja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Učenici objašnjavaju poslovicu i govore zašto je važno ponavljati nastavne sadržaje.</w:t>
            </w:r>
          </w:p>
          <w:p w14:paraId="50D5DEFD" w14:textId="409C1BE5" w:rsidR="008C64B3" w:rsidRPr="000D5C97" w:rsidRDefault="00776E02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Rad s udžbenikom: </w:t>
            </w:r>
            <w:r w:rsidR="008C64B3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upućuje učenike na rješavanje zadataka u udžbeniku</w:t>
            </w:r>
            <w:r w:rsidR="00D13EE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na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D5C97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95., 96. i 97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="008C64B3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13EE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stranici. </w:t>
            </w:r>
            <w:r w:rsidR="008C64B3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obilazi učenike za vrijeme rada te, po potrebi, dodatno objašnjava zadatak i usmjerava rad svakog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="008C64B3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pojedinog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="008C64B3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učenika. Nakon rješavanja zadataka frontalno se provjerava točnost rješenja. Učenici uočavaju svoje 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</w:t>
            </w:r>
            <w:r w:rsidR="008C64B3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greške te mogu postaviti pitanje učiteljici/učitelju i tražiti dodatno pojašnjenje ako im nešto nije jasno. </w:t>
            </w:r>
          </w:p>
          <w:p w14:paraId="6B2A6CF2" w14:textId="500E99BA" w:rsidR="008C64B3" w:rsidRPr="000D5C97" w:rsidRDefault="008C64B3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podsjeća učenike da se sutra piše pisana provjera.</w:t>
            </w:r>
          </w:p>
          <w:p w14:paraId="5B2C6449" w14:textId="77777777" w:rsidR="00AA5868" w:rsidRPr="000D5C97" w:rsidRDefault="00AA5868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6A8949B" w14:textId="29F60D7D" w:rsidR="008C64B3" w:rsidRPr="000D5C97" w:rsidRDefault="008C64B3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Za domaću zadaću učenici ispravljaju </w:t>
            </w:r>
            <w:r w:rsid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greške koje su imali u rješavanju zadataka u udžbeniku</w:t>
            </w:r>
            <w:r w:rsidR="00AA5868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 Iz 9., 10. i 11. zadatka odabiru po dva primjera i pišu rečenice (npr. Volim slušati pradjedove priče. Kad je vani hladno</w:t>
            </w:r>
            <w:r w:rsidR="004C233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="00AA5868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prija mi topla juha. Mama smrzava hranu u plastičnim posudama.)</w:t>
            </w:r>
          </w:p>
          <w:p w14:paraId="6BED60D3" w14:textId="0CA8812E" w:rsidR="00AA5868" w:rsidRPr="000D5C97" w:rsidRDefault="00AA5868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770855F" w14:textId="21F1721D" w:rsidR="00AA5868" w:rsidRDefault="00AA5868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ploči je</w:t>
            </w:r>
          </w:p>
          <w:p w14:paraId="46B37FD4" w14:textId="77777777" w:rsidR="000D5C97" w:rsidRPr="000D5C97" w:rsidRDefault="000D5C97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1192"/>
              <w:gridCol w:w="2551"/>
            </w:tblGrid>
            <w:tr w:rsidR="00AA5868" w:rsidRPr="000D5C97" w14:paraId="3D9901BD" w14:textId="77777777" w:rsidTr="008749E4">
              <w:tc>
                <w:tcPr>
                  <w:tcW w:w="1192" w:type="dxa"/>
                </w:tcPr>
                <w:p w14:paraId="4DA466F3" w14:textId="77777777" w:rsidR="00AA5868" w:rsidRPr="000D5C97" w:rsidRDefault="00AA5868" w:rsidP="000D5C97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D5C97">
                    <w:rPr>
                      <w:rFonts w:ascii="Calibri" w:eastAsia="Calibri" w:hAnsi="Calibri" w:cs="Calibri"/>
                      <w:sz w:val="18"/>
                      <w:szCs w:val="18"/>
                    </w:rPr>
                    <w:t>IMENICE</w:t>
                  </w:r>
                </w:p>
              </w:tc>
              <w:tc>
                <w:tcPr>
                  <w:tcW w:w="2551" w:type="dxa"/>
                </w:tcPr>
                <w:p w14:paraId="370E6081" w14:textId="77777777" w:rsidR="00AA5868" w:rsidRPr="000D5C97" w:rsidRDefault="00AA5868" w:rsidP="000D5C97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D5C97">
                    <w:rPr>
                      <w:rFonts w:ascii="Calibri" w:eastAsia="Calibri" w:hAnsi="Calibri" w:cs="Calibri"/>
                      <w:sz w:val="18"/>
                      <w:szCs w:val="18"/>
                    </w:rPr>
                    <w:t>+++</w:t>
                  </w:r>
                </w:p>
              </w:tc>
            </w:tr>
            <w:tr w:rsidR="00AA5868" w:rsidRPr="000D5C97" w14:paraId="7170F209" w14:textId="77777777" w:rsidTr="008749E4">
              <w:tc>
                <w:tcPr>
                  <w:tcW w:w="1192" w:type="dxa"/>
                </w:tcPr>
                <w:p w14:paraId="31E49770" w14:textId="77777777" w:rsidR="00AA5868" w:rsidRPr="000D5C97" w:rsidRDefault="00AA5868" w:rsidP="000D5C97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D5C97">
                    <w:rPr>
                      <w:rFonts w:ascii="Calibri" w:eastAsia="Calibri" w:hAnsi="Calibri" w:cs="Calibri"/>
                      <w:sz w:val="18"/>
                      <w:szCs w:val="18"/>
                    </w:rPr>
                    <w:t>GLAGOLI</w:t>
                  </w:r>
                </w:p>
              </w:tc>
              <w:tc>
                <w:tcPr>
                  <w:tcW w:w="2551" w:type="dxa"/>
                </w:tcPr>
                <w:p w14:paraId="29926D1E" w14:textId="77777777" w:rsidR="00AA5868" w:rsidRPr="000D5C97" w:rsidRDefault="00AA5868" w:rsidP="000D5C97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D5C97">
                    <w:rPr>
                      <w:rFonts w:ascii="Calibri" w:eastAsia="Calibri" w:hAnsi="Calibri" w:cs="Calibri"/>
                      <w:sz w:val="18"/>
                      <w:szCs w:val="18"/>
                    </w:rPr>
                    <w:t>+</w:t>
                  </w:r>
                </w:p>
              </w:tc>
            </w:tr>
            <w:tr w:rsidR="00AA5868" w:rsidRPr="000D5C97" w14:paraId="723B9CD7" w14:textId="77777777" w:rsidTr="008749E4">
              <w:tc>
                <w:tcPr>
                  <w:tcW w:w="1192" w:type="dxa"/>
                </w:tcPr>
                <w:p w14:paraId="150230D1" w14:textId="77777777" w:rsidR="00AA5868" w:rsidRPr="000D5C97" w:rsidRDefault="00AA5868" w:rsidP="000D5C97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D5C97">
                    <w:rPr>
                      <w:rFonts w:ascii="Calibri" w:eastAsia="Calibri" w:hAnsi="Calibri" w:cs="Calibri"/>
                      <w:sz w:val="18"/>
                      <w:szCs w:val="18"/>
                    </w:rPr>
                    <w:t>PRIDJEVI</w:t>
                  </w:r>
                </w:p>
              </w:tc>
              <w:tc>
                <w:tcPr>
                  <w:tcW w:w="2551" w:type="dxa"/>
                </w:tcPr>
                <w:p w14:paraId="10178AFC" w14:textId="77777777" w:rsidR="00AA5868" w:rsidRPr="000D5C97" w:rsidRDefault="00AA5868" w:rsidP="000D5C97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0D5C97">
                    <w:rPr>
                      <w:rFonts w:ascii="Calibri" w:eastAsia="Calibri" w:hAnsi="Calibri" w:cs="Calibri"/>
                      <w:sz w:val="18"/>
                      <w:szCs w:val="18"/>
                    </w:rPr>
                    <w:t>+</w:t>
                  </w:r>
                </w:p>
              </w:tc>
            </w:tr>
          </w:tbl>
          <w:p w14:paraId="439E89C1" w14:textId="77777777" w:rsidR="00276DCD" w:rsidRPr="000D5C97" w:rsidRDefault="00276DCD" w:rsidP="000D5C9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2432FA3" w14:textId="5DF6FF3D" w:rsidR="00276DCD" w:rsidRPr="000D5C97" w:rsidRDefault="00522F6E" w:rsidP="000D5C9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5" w:history="1">
              <w:r w:rsidR="0088087F" w:rsidRPr="000D5C97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Modul Hrvatski jezik i komunikacija</w:t>
              </w:r>
            </w:hyperlink>
          </w:p>
          <w:p w14:paraId="7311BB82" w14:textId="77777777" w:rsidR="0088087F" w:rsidRDefault="0088087F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0D5C9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Mogu se koristiti zadatci iz nastavnih jedinica povezanih sa sadržajem ponavljanja</w:t>
            </w:r>
            <w:r w:rsidR="00F54DF0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.</w:t>
            </w:r>
          </w:p>
          <w:p w14:paraId="3BFBDD28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F2D1F59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2A4D89A2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25CE4FF5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404C7DB" w14:textId="09916223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Jedinica </w:t>
            </w:r>
            <w:hyperlink r:id="rId6" w:history="1">
              <w:r w:rsidRPr="005C2186">
                <w:rPr>
                  <w:rStyle w:val="Hiperveza"/>
                  <w:rFonts w:ascii="Calibri" w:eastAsia="Calibri" w:hAnsi="Calibri" w:cs="Calibri"/>
                  <w:bCs/>
                  <w:sz w:val="18"/>
                  <w:szCs w:val="18"/>
                </w:rPr>
                <w:t>Vrste riječi - ponavljanje sadržaja četvrtoga razreda</w:t>
              </w:r>
            </w:hyperlink>
          </w:p>
          <w:p w14:paraId="4DF6683B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1CC37A1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CCA06D1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2F8E34F3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B9E129E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9CFDD98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462B905D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21C0A3B3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0AB3959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7D1EDBF2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653F382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0333B91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46BEA427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5F3A1E8F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1EC7AF56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C5C33D8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63CB049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1D4E49D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7839CEDC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117AD9E5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4B2B47E2" w14:textId="3C05E7CA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Objekt </w:t>
            </w:r>
            <w:hyperlink r:id="rId7" w:anchor="block-1729780" w:history="1">
              <w:r w:rsidRPr="005C2186">
                <w:rPr>
                  <w:rStyle w:val="Hiperveza"/>
                  <w:rFonts w:ascii="Calibri" w:eastAsia="Calibri" w:hAnsi="Calibri" w:cs="Calibri"/>
                  <w:bCs/>
                  <w:sz w:val="18"/>
                  <w:szCs w:val="18"/>
                </w:rPr>
                <w:t>Imenuj, izreci, opiši</w:t>
              </w:r>
            </w:hyperlink>
          </w:p>
          <w:p w14:paraId="5D87F466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05282F5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79B93E0E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412ED1E9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F6FD5EB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70F3F93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52BFE364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183C84E3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1E6D0A25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01D47E2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121B0A05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12B7E3C4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972B121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5C550A5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1E519055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1ED16BA" w14:textId="77777777" w:rsidR="005C2186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4178363" w14:textId="39222519" w:rsidR="005C2186" w:rsidRPr="000D5C97" w:rsidRDefault="005C2186" w:rsidP="000D5C97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Objekt </w:t>
            </w:r>
            <w:hyperlink r:id="rId8" w:history="1">
              <w:r w:rsidRPr="005C2186">
                <w:rPr>
                  <w:rStyle w:val="Hiperveza"/>
                  <w:rFonts w:ascii="Calibri" w:eastAsia="Calibri" w:hAnsi="Calibri" w:cs="Calibri"/>
                  <w:bCs/>
                  <w:sz w:val="18"/>
                  <w:szCs w:val="18"/>
                </w:rPr>
                <w:t>Kontrolni zadatci</w:t>
              </w:r>
            </w:hyperlink>
          </w:p>
        </w:tc>
        <w:tc>
          <w:tcPr>
            <w:tcW w:w="1730" w:type="dxa"/>
          </w:tcPr>
          <w:p w14:paraId="16D40D74" w14:textId="7A785C6F" w:rsidR="00AA5868" w:rsidRPr="000D5C97" w:rsidRDefault="00AA5868" w:rsidP="00F54DF0">
            <w:pPr>
              <w:textAlignment w:val="baseline"/>
              <w:rPr>
                <w:rFonts w:cstheme="minorHAnsi"/>
                <w:color w:val="231F20"/>
                <w:sz w:val="18"/>
                <w:szCs w:val="18"/>
              </w:rPr>
            </w:pP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lastRenderedPageBreak/>
              <w:t xml:space="preserve">UKU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Praćenje: Na poticaj učitelja učenik prati svoje učenje i napredovanje tijekom učenja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Prilagodba učenja: Uz podršku učitelja, ali i samostalno, prema potrebi učenik mijenja plan ili pristup učenju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Samovrednovanje/samoprocjena: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Na poticaj učitelja, ali i samostalno, učenik samovrednuje proces učenja i svoje rezultate te procjenjuje ostvareni napredak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Vrijednost učenja: Učenik može objasniti vrijednost učenja za svoj život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D5C97">
              <w:rPr>
                <w:rFonts w:cstheme="minorHAnsi"/>
                <w:color w:val="231F20"/>
                <w:sz w:val="18"/>
                <w:szCs w:val="18"/>
              </w:rPr>
              <w:t>D.</w:t>
            </w:r>
            <w:r w:rsidR="00F54DF0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0D5C97">
              <w:rPr>
                <w:rFonts w:cstheme="minorHAnsi"/>
                <w:color w:val="231F20"/>
                <w:sz w:val="18"/>
                <w:szCs w:val="18"/>
              </w:rPr>
              <w:t>2.</w:t>
            </w:r>
            <w:r w:rsidR="00F54DF0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Pr="000D5C97">
              <w:rPr>
                <w:rFonts w:cstheme="minorHAnsi"/>
                <w:color w:val="231F20"/>
                <w:sz w:val="18"/>
                <w:szCs w:val="18"/>
              </w:rPr>
              <w:t>2. Suradnja s drugima: Učenik ostvaruje dobru komunikaciju s drugima, uspješno surađuje u različitim situacijama i spreman je zatražiti i ponuditi pomoć.</w:t>
            </w:r>
          </w:p>
          <w:p w14:paraId="4BEF7171" w14:textId="3E48BF86" w:rsidR="00A346A1" w:rsidRPr="000D5C97" w:rsidRDefault="00AA5868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OSR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346A1"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50310CB5" w14:textId="35E0EFDD" w:rsidR="00A346A1" w:rsidRPr="000D5C97" w:rsidRDefault="00A346A1" w:rsidP="000D5C9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D5C9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IKT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54DF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D5C9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Učenik se samostalno koristi njemu poznatim uređajima i programima.</w:t>
            </w:r>
          </w:p>
          <w:p w14:paraId="05183161" w14:textId="04C15406" w:rsidR="00276DCD" w:rsidRPr="000D5C97" w:rsidRDefault="00276DCD" w:rsidP="000D5C9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bookmarkEnd w:id="0"/>
    </w:tbl>
    <w:p w14:paraId="2802B546" w14:textId="77777777" w:rsidR="00C35534" w:rsidRPr="000D5C97" w:rsidRDefault="00522F6E" w:rsidP="000D5C97">
      <w:pPr>
        <w:spacing w:after="0"/>
      </w:pPr>
    </w:p>
    <w:sectPr w:rsidR="00C35534" w:rsidRPr="000D5C97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586B6A"/>
    <w:multiLevelType w:val="hybridMultilevel"/>
    <w:tmpl w:val="656071DE"/>
    <w:lvl w:ilvl="0" w:tplc="1E1EAE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DCD"/>
    <w:rsid w:val="00092187"/>
    <w:rsid w:val="000C52FE"/>
    <w:rsid w:val="000D5C97"/>
    <w:rsid w:val="0023795C"/>
    <w:rsid w:val="00276DCD"/>
    <w:rsid w:val="004C2333"/>
    <w:rsid w:val="00522F6E"/>
    <w:rsid w:val="005B3B4D"/>
    <w:rsid w:val="005C2186"/>
    <w:rsid w:val="006D1932"/>
    <w:rsid w:val="00776E02"/>
    <w:rsid w:val="007B2124"/>
    <w:rsid w:val="0088087F"/>
    <w:rsid w:val="008C64B3"/>
    <w:rsid w:val="008E04A8"/>
    <w:rsid w:val="009F622E"/>
    <w:rsid w:val="00A346A1"/>
    <w:rsid w:val="00AA5868"/>
    <w:rsid w:val="00CB4C7F"/>
    <w:rsid w:val="00D13EE9"/>
    <w:rsid w:val="00F54DF0"/>
    <w:rsid w:val="00F9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B72F"/>
  <w15:chartTrackingRefBased/>
  <w15:docId w15:val="{E499D028-3DBB-4522-AB2C-A27BED6B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6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76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76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76DCD"/>
    <w:pPr>
      <w:ind w:left="720"/>
      <w:contextualSpacing/>
    </w:pPr>
  </w:style>
  <w:style w:type="paragraph" w:customStyle="1" w:styleId="t-8">
    <w:name w:val="t-8"/>
    <w:basedOn w:val="Normal"/>
    <w:rsid w:val="00AA5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622E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88087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8087F"/>
    <w:rPr>
      <w:color w:val="605E5C"/>
      <w:shd w:val="clear" w:color="auto" w:fill="E1DFDD"/>
    </w:rPr>
  </w:style>
  <w:style w:type="character" w:styleId="Referencakomentara">
    <w:name w:val="annotation reference"/>
    <w:basedOn w:val="Zadanifontodlomka"/>
    <w:uiPriority w:val="99"/>
    <w:semiHidden/>
    <w:unhideWhenUsed/>
    <w:rsid w:val="000D5C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D5C9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D5C97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D5C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D5C97"/>
    <w:rPr>
      <w:b/>
      <w:bCs/>
      <w:sz w:val="20"/>
      <w:szCs w:val="20"/>
    </w:rPr>
  </w:style>
  <w:style w:type="character" w:styleId="SlijeenaHiperveza">
    <w:name w:val="FollowedHyperlink"/>
    <w:basedOn w:val="Zadanifontodlomka"/>
    <w:uiPriority w:val="99"/>
    <w:semiHidden/>
    <w:unhideWhenUsed/>
    <w:rsid w:val="005C21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46428/6686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46428/66865.html" TargetMode="External"/><Relationship Id="rId5" Type="http://schemas.openxmlformats.org/officeDocument/2006/relationships/hyperlink" Target="https://hr.izzi.digital/DOS/46428/4643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2022-07-04T16:15:00Z</dcterms:created>
  <dcterms:modified xsi:type="dcterms:W3CDTF">2022-07-04T16:15:00Z</dcterms:modified>
</cp:coreProperties>
</file>