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2305D" w14:textId="77777777" w:rsidR="007E0919" w:rsidRDefault="00550483" w:rsidP="00BF4E34">
      <w:pPr>
        <w:spacing w:after="0" w:line="240" w:lineRule="auto"/>
        <w:rPr>
          <w:b/>
        </w:rPr>
      </w:pPr>
      <w:r w:rsidRPr="00BF4E34">
        <w:rPr>
          <w:b/>
        </w:rPr>
        <w:t>PRIJEDLOG PRIPREME ZA IZVOĐENJE NASTAVE MATEMATIKE</w:t>
      </w:r>
    </w:p>
    <w:p w14:paraId="53461A74" w14:textId="77777777" w:rsidR="00BF4E34" w:rsidRPr="00BF4E34" w:rsidRDefault="00BF4E34" w:rsidP="00BF4E34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BF4E34" w14:paraId="1C7AC0D3" w14:textId="77777777" w:rsidTr="00F92A0F">
        <w:tc>
          <w:tcPr>
            <w:tcW w:w="1989" w:type="pct"/>
            <w:gridSpan w:val="2"/>
            <w:shd w:val="clear" w:color="auto" w:fill="D9E2F3" w:themeFill="accent1" w:themeFillTint="33"/>
          </w:tcPr>
          <w:p w14:paraId="4371B699" w14:textId="77777777" w:rsidR="008E5959" w:rsidRPr="00BF4E34" w:rsidRDefault="000A7FD2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I</w:t>
            </w:r>
            <w:r w:rsidR="008E5959" w:rsidRPr="00BF4E3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C76D8FB" w14:textId="77777777" w:rsidR="008E5959" w:rsidRPr="00BF4E34" w:rsidRDefault="008E5959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66F075F" w14:textId="77777777" w:rsidR="008E5959" w:rsidRPr="00BF4E34" w:rsidRDefault="008E5959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F4E34" w14:paraId="3F48B169" w14:textId="77777777" w:rsidTr="00F92A0F">
        <w:tc>
          <w:tcPr>
            <w:tcW w:w="764" w:type="pct"/>
          </w:tcPr>
          <w:p w14:paraId="2C441520" w14:textId="77777777" w:rsidR="008E5959" w:rsidRPr="00BF4E34" w:rsidRDefault="008E5959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AEB487D" w14:textId="77777777" w:rsidR="008E5959" w:rsidRPr="00BF4E34" w:rsidRDefault="004B7B15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BF4E3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BF4E34" w14:paraId="59196DD0" w14:textId="77777777" w:rsidTr="00F92A0F">
        <w:tc>
          <w:tcPr>
            <w:tcW w:w="764" w:type="pct"/>
          </w:tcPr>
          <w:p w14:paraId="62CAE65B" w14:textId="77777777" w:rsidR="008E5959" w:rsidRPr="00BF4E34" w:rsidRDefault="008E5959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CF40967" w14:textId="77777777" w:rsidR="008E5959" w:rsidRPr="00BF4E34" w:rsidRDefault="004B7B15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BF4E34" w14:paraId="751889CF" w14:textId="77777777" w:rsidTr="00F92A0F">
        <w:tc>
          <w:tcPr>
            <w:tcW w:w="764" w:type="pct"/>
          </w:tcPr>
          <w:p w14:paraId="09A1B9CF" w14:textId="77777777" w:rsidR="008E5959" w:rsidRPr="00BF4E34" w:rsidRDefault="008E5959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C61F59F" w14:textId="7EE7FB30" w:rsidR="008E5959" w:rsidRPr="00BF4E34" w:rsidRDefault="00A2356C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722580" w:rsidRPr="00BF4E34">
              <w:rPr>
                <w:rFonts w:cstheme="minorHAnsi"/>
                <w:sz w:val="18"/>
                <w:szCs w:val="18"/>
              </w:rPr>
              <w:t>(</w:t>
            </w:r>
            <w:r w:rsidR="00535E1F" w:rsidRPr="00BF4E34">
              <w:rPr>
                <w:rFonts w:cstheme="minorHAnsi"/>
                <w:sz w:val="18"/>
                <w:szCs w:val="18"/>
              </w:rPr>
              <w:t>30 + 7, 37 – 7, 22 + 5, 46 - 3</w:t>
            </w:r>
            <w:r w:rsidR="00722580" w:rsidRPr="00BF4E34">
              <w:rPr>
                <w:rFonts w:cstheme="minorHAnsi"/>
                <w:sz w:val="18"/>
                <w:szCs w:val="18"/>
              </w:rPr>
              <w:t>)</w:t>
            </w:r>
            <w:r w:rsidR="006A42D2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BF4E34" w14:paraId="005484B3" w14:textId="77777777" w:rsidTr="00F92A0F">
        <w:tc>
          <w:tcPr>
            <w:tcW w:w="764" w:type="pct"/>
          </w:tcPr>
          <w:p w14:paraId="496BBB1E" w14:textId="77777777" w:rsidR="008E5959" w:rsidRPr="00BF4E34" w:rsidRDefault="008E5959" w:rsidP="00F92A0F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ISHODI:</w:t>
            </w:r>
          </w:p>
          <w:p w14:paraId="44F63D8C" w14:textId="77777777" w:rsidR="008E5959" w:rsidRPr="00BF4E34" w:rsidRDefault="008E5959" w:rsidP="00F92A0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5E328AB" w14:textId="77777777" w:rsidR="00BB2C59" w:rsidRPr="000C6013" w:rsidRDefault="00BB2C59" w:rsidP="00F92A0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369BFE37" w14:textId="77777777" w:rsidR="00BB2C59" w:rsidRPr="008E7A4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E7A4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broji</w:t>
            </w:r>
            <w:r w:rsidRPr="008E7A4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19745282" w14:textId="77777777" w:rsidR="00BB2C59" w:rsidRPr="000C6013" w:rsidRDefault="00BB2C59" w:rsidP="00F92A0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1E8E067E" w14:textId="77777777" w:rsidR="00BB2C59" w:rsidRPr="000C601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499BCB44" w14:textId="77777777" w:rsidR="00BB2C59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78D1D215" w14:textId="77777777" w:rsidR="00BB2C59" w:rsidRPr="000C601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24755C6D" w14:textId="77777777" w:rsidR="00BB2C59" w:rsidRPr="000C601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4567918C" w14:textId="77777777" w:rsidR="00BB2C59" w:rsidRPr="000C601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31477A6E" w14:textId="77777777" w:rsidR="00BB2C59" w:rsidRPr="000C601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operacijama.</w:t>
            </w:r>
          </w:p>
          <w:p w14:paraId="1E30AE3F" w14:textId="77777777" w:rsidR="00BB2C59" w:rsidRPr="009573C4" w:rsidRDefault="00BB2C59" w:rsidP="00F92A0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4C996A06" w14:textId="77777777" w:rsidR="00BB2C59" w:rsidRPr="009573C4" w:rsidRDefault="00BB2C59" w:rsidP="00F92A0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E7A4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navodi </w:t>
            </w:r>
            <w:r w:rsidRPr="008E7A4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standardne mjerne jedinice za vrijeme (sekunda, minuta, sat, dan, tjedan, mjesec, godina),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procjenjuje i mjeri prolaznost vremena odgovarajućim mjernim instrumentom i zapisuje duljinu vremenskoga intervala</w:t>
            </w:r>
          </w:p>
          <w:p w14:paraId="3485386E" w14:textId="77777777" w:rsidR="00BB2C59" w:rsidRPr="009573C4" w:rsidRDefault="00BB2C59" w:rsidP="00F92A0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75D29C0A" w14:textId="77777777" w:rsidR="00BB2C59" w:rsidRDefault="00BB2C59" w:rsidP="00F92A0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9573C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2BB921CC" w14:textId="77777777" w:rsidR="00BB2C59" w:rsidRPr="000C6013" w:rsidRDefault="00BB2C59" w:rsidP="00F92A0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785253D1" w14:textId="77777777" w:rsidR="00BB2C59" w:rsidRPr="000C601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0966686C" w14:textId="77777777" w:rsidR="00BB2C59" w:rsidRPr="000C6013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38C0B580" w14:textId="77777777" w:rsidR="00BB2C59" w:rsidRDefault="00BB2C59" w:rsidP="00F92A0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nostavnih tablica i piktograma</w:t>
            </w:r>
          </w:p>
          <w:p w14:paraId="5B2D9FB3" w14:textId="53FFC72A" w:rsidR="00CD7462" w:rsidRPr="00BF4E34" w:rsidRDefault="00BB2C59" w:rsidP="00F92A0F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4573855E" w14:textId="078A2FE5" w:rsidR="00655CB6" w:rsidRDefault="00655CB6" w:rsidP="00BF4E34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19"/>
        <w:gridCol w:w="2110"/>
        <w:gridCol w:w="2691"/>
      </w:tblGrid>
      <w:tr w:rsidR="00F92A0F" w14:paraId="3EDEF407" w14:textId="77777777" w:rsidTr="001379CA">
        <w:tc>
          <w:tcPr>
            <w:tcW w:w="3312" w:type="pct"/>
            <w:shd w:val="clear" w:color="auto" w:fill="D9E2F3" w:themeFill="accent1" w:themeFillTint="33"/>
          </w:tcPr>
          <w:p w14:paraId="61C27708" w14:textId="1CCA843C" w:rsidR="00F92A0F" w:rsidRDefault="00F92A0F" w:rsidP="001379CA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2" w:type="pct"/>
            <w:shd w:val="clear" w:color="auto" w:fill="D9E2F3" w:themeFill="accent1" w:themeFillTint="33"/>
          </w:tcPr>
          <w:p w14:paraId="7C5D4C76" w14:textId="5C9137D9" w:rsidR="00F92A0F" w:rsidRDefault="00F92A0F" w:rsidP="001379CA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46" w:type="pct"/>
            <w:shd w:val="clear" w:color="auto" w:fill="D9E2F3" w:themeFill="accent1" w:themeFillTint="33"/>
          </w:tcPr>
          <w:p w14:paraId="224B53EA" w14:textId="1D39813C" w:rsidR="00F92A0F" w:rsidRDefault="00F92A0F" w:rsidP="001379CA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F4E3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F4E3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F4E3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F4E3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F4E3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F4E3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F4E3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F4E3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F4E3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F4E3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F4E3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F4E3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F4E3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F4E3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92A0F" w14:paraId="66315B25" w14:textId="77777777" w:rsidTr="001379CA">
        <w:tc>
          <w:tcPr>
            <w:tcW w:w="3312" w:type="pct"/>
          </w:tcPr>
          <w:p w14:paraId="78193E96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Pr="005454D7">
              <w:rPr>
                <w:rFonts w:cstheme="minorHAnsi"/>
                <w:b/>
                <w:iCs/>
                <w:sz w:val="18"/>
                <w:szCs w:val="18"/>
              </w:rPr>
              <w:t>Žabice</w:t>
            </w:r>
            <w:r w:rsidRPr="00BF4E34">
              <w:rPr>
                <w:rFonts w:cstheme="minorHAnsi"/>
                <w:b/>
                <w:sz w:val="18"/>
                <w:szCs w:val="18"/>
              </w:rPr>
              <w:t xml:space="preserve"> u ritmu</w:t>
            </w:r>
          </w:p>
          <w:p w14:paraId="7B82F6E0" w14:textId="77777777" w:rsidR="001379CA" w:rsidRPr="00BB2C59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BF4E34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6A45EF46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F4E3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7F95308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Učiteljica/učitelj pušta glazbu.</w:t>
            </w:r>
          </w:p>
          <w:p w14:paraId="0C1A6542" w14:textId="77777777" w:rsidR="00F92A0F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 xml:space="preserve">Učenici uzimaju svoje </w:t>
            </w:r>
            <w:r w:rsidRPr="00BF4E34">
              <w:rPr>
                <w:rFonts w:cstheme="minorHAnsi"/>
                <w:i/>
                <w:sz w:val="18"/>
                <w:szCs w:val="18"/>
              </w:rPr>
              <w:t>žabice</w:t>
            </w:r>
            <w:r w:rsidRPr="00BF4E34">
              <w:rPr>
                <w:rFonts w:cstheme="minorHAnsi"/>
                <w:sz w:val="18"/>
                <w:szCs w:val="18"/>
              </w:rPr>
              <w:t xml:space="preserve"> i s njima u ritmu hodaju razredom dok svira glazba. Kada učiteljica/učitelj zaustavi glazbu najbliži učenici se okrenu jedno drugome i igraju igru </w:t>
            </w:r>
            <w:r w:rsidRPr="00BF4E34">
              <w:rPr>
                <w:rFonts w:cstheme="minorHAnsi"/>
                <w:i/>
                <w:sz w:val="18"/>
                <w:szCs w:val="18"/>
              </w:rPr>
              <w:t>žabice</w:t>
            </w:r>
            <w:r w:rsidRPr="00BF4E34">
              <w:rPr>
                <w:rFonts w:cstheme="minorHAnsi"/>
                <w:sz w:val="18"/>
                <w:szCs w:val="18"/>
              </w:rPr>
              <w:t>. Učiteljica/učitelj ponovo pušta glazbu pa učenici prekidaju igru, nastavljaju šetati razredom u ritmu i čekaju ponovni prestanak glazbe kada se opet okrenu najbližem učeniku i odigraju igru.</w:t>
            </w:r>
          </w:p>
          <w:p w14:paraId="2346EFFD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</w:p>
          <w:p w14:paraId="7EF01C1D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>2. Čitanje grafikona</w:t>
            </w:r>
          </w:p>
          <w:p w14:paraId="5C7376F3" w14:textId="77777777" w:rsidR="001379CA" w:rsidRPr="00BB2C59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BF4E34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F4E34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F4E34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54A73034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2CF11242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Učiteljica/učitelj na ploču crta grafikon:</w:t>
            </w:r>
          </w:p>
          <w:p w14:paraId="37563FE0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Ivičin dnevni plan:</w:t>
            </w:r>
          </w:p>
          <w:p w14:paraId="02DD3C4F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minute</w:t>
            </w:r>
          </w:p>
          <w:p w14:paraId="7C5F648F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</w:pPr>
            <w:r w:rsidRPr="00BF4E34">
              <w:object w:dxaOrig="7050" w:dyaOrig="4200" w14:anchorId="40D322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59.5pt;height:95.25pt" o:ole="">
                  <v:imagedata r:id="rId4" o:title=""/>
                </v:shape>
                <o:OLEObject Type="Embed" ProgID="PBrush" ShapeID="_x0000_i1028" DrawAspect="Content" ObjectID="_1687708553" r:id="rId5"/>
              </w:object>
            </w:r>
            <w:r w:rsidRPr="00BF4E34">
              <w:rPr>
                <w:sz w:val="18"/>
              </w:rPr>
              <w:t>obveze</w:t>
            </w:r>
          </w:p>
          <w:p w14:paraId="72A1B530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sz w:val="18"/>
              </w:rPr>
            </w:pPr>
            <w:r w:rsidRPr="00BF4E34">
              <w:rPr>
                <w:sz w:val="18"/>
              </w:rPr>
              <w:t>Potiče učenike da promotre grafikon i odgovore na pitanja:</w:t>
            </w:r>
          </w:p>
          <w:p w14:paraId="6245CD7B" w14:textId="77777777" w:rsidR="001379CA" w:rsidRDefault="001379CA" w:rsidP="001379CA">
            <w:pPr>
              <w:rPr>
                <w:sz w:val="18"/>
              </w:rPr>
            </w:pPr>
            <w:r w:rsidRPr="00BF4E34">
              <w:rPr>
                <w:sz w:val="18"/>
              </w:rPr>
              <w:t>Koje poslove planira raditi Ivo?</w:t>
            </w:r>
            <w:r>
              <w:rPr>
                <w:sz w:val="18"/>
              </w:rPr>
              <w:t xml:space="preserve"> </w:t>
            </w:r>
            <w:r w:rsidRPr="00BF4E34">
              <w:rPr>
                <w:sz w:val="18"/>
              </w:rPr>
              <w:t>Što će najdulje raditi? Koliko vremena planira pis</w:t>
            </w:r>
            <w:r>
              <w:rPr>
                <w:sz w:val="18"/>
              </w:rPr>
              <w:t>a</w:t>
            </w:r>
            <w:r w:rsidRPr="00BF4E34">
              <w:rPr>
                <w:sz w:val="18"/>
              </w:rPr>
              <w:t>ti zadaću? Koliko vremena planira provesti igrajući se na tabletu? Koju aktivnost će najranije završiti? Koliko vremena na dan ti provodiš u ovim aktivnostima?</w:t>
            </w:r>
          </w:p>
          <w:p w14:paraId="3FBF330F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</w:p>
          <w:p w14:paraId="25168B4F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>3. Problemski zadatak s kestenima</w:t>
            </w:r>
          </w:p>
          <w:p w14:paraId="6CEB2CC3" w14:textId="77777777" w:rsidR="001379CA" w:rsidRPr="00BB2C59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uč</w:t>
            </w:r>
            <w:r w:rsidRPr="00BF4E34">
              <w:rPr>
                <w:rFonts w:cstheme="minorHAnsi"/>
                <w:sz w:val="18"/>
                <w:szCs w:val="18"/>
              </w:rPr>
              <w:t>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F4E34">
              <w:rPr>
                <w:rFonts w:cstheme="minorHAnsi"/>
                <w:sz w:val="18"/>
                <w:szCs w:val="18"/>
              </w:rPr>
              <w:t>čenik 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F4E34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F4E34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F4E34">
              <w:rPr>
                <w:rFonts w:cstheme="minorHAnsi"/>
                <w:sz w:val="18"/>
                <w:szCs w:val="18"/>
              </w:rPr>
              <w:t>čenik se koristi podatcima iz neposredne okoline.</w:t>
            </w:r>
          </w:p>
          <w:p w14:paraId="15213798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65E7459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 xml:space="preserve">Učenici samostalno rješavaju problemski zadatak  iz udžbenika 75. </w:t>
            </w:r>
          </w:p>
          <w:p w14:paraId="60A241A9" w14:textId="77777777" w:rsidR="001379CA" w:rsidRPr="00BF4E34" w:rsidRDefault="001379CA" w:rsidP="001379CA">
            <w:pPr>
              <w:rPr>
                <w:rFonts w:cstheme="minorHAnsi"/>
                <w:sz w:val="18"/>
                <w:szCs w:val="18"/>
              </w:rPr>
            </w:pPr>
          </w:p>
          <w:p w14:paraId="0151DE6A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 xml:space="preserve">Analiza se provodi čitanjem </w:t>
            </w:r>
            <w:r>
              <w:rPr>
                <w:rFonts w:cstheme="minorHAnsi"/>
                <w:sz w:val="18"/>
                <w:szCs w:val="18"/>
              </w:rPr>
              <w:t xml:space="preserve">naglas </w:t>
            </w:r>
            <w:r w:rsidRPr="00BF4E34">
              <w:rPr>
                <w:rFonts w:cstheme="minorHAnsi"/>
                <w:sz w:val="18"/>
                <w:szCs w:val="18"/>
              </w:rPr>
              <w:t>pitanja, računa i odgovora iz udžbenika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CC39C88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</w:p>
          <w:p w14:paraId="0758F9C2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>4. Zadatci riječima</w:t>
            </w:r>
          </w:p>
          <w:p w14:paraId="7B722D9D" w14:textId="77777777" w:rsidR="001379CA" w:rsidRPr="00BB2C59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BF4E34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F4E34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664CCB55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B2159EA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Učenici su u skupinama od prošlog sata. Učiteljica/učitelj obilazi učenike i nudi im da odaberu nekoliko zadataka ostalih skupina (ovisno o broju napisanih zadataka i broju skupina). U skupini rješavaju izvučene zadatke.</w:t>
            </w:r>
          </w:p>
          <w:p w14:paraId="4FB13B65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Svaka skupina odabere njima najzanimljiviji zadatak za rješavanje i glasno ga pročita te riješi na ploči.</w:t>
            </w:r>
          </w:p>
          <w:p w14:paraId="0975E896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</w:p>
          <w:p w14:paraId="3FAB11FA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BF4E34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0DD6E87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9E5E830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F4E34">
              <w:rPr>
                <w:rFonts w:cstheme="minorHAnsi"/>
                <w:b/>
                <w:sz w:val="18"/>
                <w:szCs w:val="18"/>
              </w:rPr>
              <w:t xml:space="preserve">Zbrajanje i oduzimanje </w:t>
            </w:r>
          </w:p>
          <w:p w14:paraId="34096DA7" w14:textId="77777777" w:rsidR="001379CA" w:rsidRPr="00BF4E34" w:rsidRDefault="001379CA" w:rsidP="001379CA">
            <w:pPr>
              <w:tabs>
                <w:tab w:val="left" w:pos="2130"/>
              </w:tabs>
              <w:rPr>
                <w:rFonts w:cstheme="minorHAnsi"/>
                <w:color w:val="2F5496" w:themeColor="accent1" w:themeShade="BF"/>
                <w:sz w:val="18"/>
                <w:szCs w:val="18"/>
              </w:rPr>
            </w:pPr>
          </w:p>
          <w:p w14:paraId="68C06EF1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 xml:space="preserve">      Ivičin dnevni plan:</w:t>
            </w:r>
          </w:p>
          <w:p w14:paraId="396CF422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F4E34">
              <w:rPr>
                <w:rFonts w:cstheme="minorHAnsi"/>
                <w:sz w:val="18"/>
                <w:szCs w:val="18"/>
              </w:rPr>
              <w:t>minute</w:t>
            </w:r>
          </w:p>
          <w:p w14:paraId="23DE9B5D" w14:textId="77777777" w:rsidR="001379CA" w:rsidRPr="00BF4E34" w:rsidRDefault="001379CA" w:rsidP="001379CA">
            <w:pPr>
              <w:autoSpaceDE w:val="0"/>
              <w:autoSpaceDN w:val="0"/>
              <w:adjustRightInd w:val="0"/>
              <w:outlineLvl w:val="0"/>
            </w:pPr>
            <w:r w:rsidRPr="00BF4E34">
              <w:object w:dxaOrig="7050" w:dyaOrig="4200" w14:anchorId="0B6869AF">
                <v:shape id="_x0000_i1030" type="#_x0000_t75" style="width:229.3pt;height:137.35pt" o:ole="">
                  <v:imagedata r:id="rId4" o:title=""/>
                </v:shape>
                <o:OLEObject Type="Embed" ProgID="PBrush" ShapeID="_x0000_i1030" DrawAspect="Content" ObjectID="_1687708554" r:id="rId6"/>
              </w:object>
            </w:r>
            <w:r w:rsidRPr="00BF4E34">
              <w:rPr>
                <w:sz w:val="18"/>
              </w:rPr>
              <w:t>obveze</w:t>
            </w:r>
          </w:p>
          <w:p w14:paraId="0A4476FB" w14:textId="5D405E7E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2" w:type="pct"/>
          </w:tcPr>
          <w:p w14:paraId="637B1434" w14:textId="77777777" w:rsidR="001379CA" w:rsidRDefault="001379CA" w:rsidP="001379CA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</w:p>
          <w:p w14:paraId="03C2F52C" w14:textId="77777777" w:rsidR="001379CA" w:rsidRDefault="001379CA" w:rsidP="001379CA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69444A23" w14:textId="77777777" w:rsidR="001379CA" w:rsidRDefault="001379CA" w:rsidP="001379CA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7" w:history="1">
              <w:r w:rsidRPr="0007350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Zbrajanje dvoznamenkastih i jednoznamenkastih brojeva</w:t>
              </w:r>
            </w:hyperlink>
          </w:p>
          <w:p w14:paraId="7BDD008B" w14:textId="77777777" w:rsidR="001379CA" w:rsidRPr="00073502" w:rsidRDefault="001379CA" w:rsidP="001379CA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F9524C4" w14:textId="686AE0E9" w:rsidR="00F92A0F" w:rsidRDefault="001379CA" w:rsidP="001379CA">
            <w:pPr>
              <w:rPr>
                <w:rFonts w:cstheme="minorHAnsi"/>
                <w:sz w:val="18"/>
                <w:szCs w:val="18"/>
              </w:rPr>
            </w:pPr>
            <w:hyperlink r:id="rId8" w:history="1">
              <w:r w:rsidRPr="0007350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Jedinica: Oduzimanje </w:t>
              </w:r>
              <w:r w:rsidRPr="0007350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lastRenderedPageBreak/>
                <w:t>jednoznamenkastog broja od dvoznamenkastog</w:t>
              </w:r>
            </w:hyperlink>
          </w:p>
        </w:tc>
        <w:tc>
          <w:tcPr>
            <w:tcW w:w="946" w:type="pct"/>
          </w:tcPr>
          <w:p w14:paraId="58D1DDFF" w14:textId="77777777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997D25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</w:p>
          <w:p w14:paraId="063E6877" w14:textId="77777777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sz w:val="18"/>
                <w:szCs w:val="18"/>
              </w:rPr>
              <w:t>A. 2. 3. Učenik čita kratke tekstove tematski prikladne učeničkomu iskustvu, jezičnomu razvoju i interesima.</w:t>
            </w:r>
          </w:p>
          <w:p w14:paraId="233A5521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997D25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</w:t>
            </w:r>
            <w:r w:rsidRPr="00997D25">
              <w:rPr>
                <w:rFonts w:cstheme="minorHAnsi"/>
                <w:sz w:val="18"/>
                <w:szCs w:val="18"/>
              </w:rPr>
              <w:lastRenderedPageBreak/>
              <w:t>slijed događaja.</w:t>
            </w:r>
          </w:p>
          <w:p w14:paraId="0FE099CC" w14:textId="77777777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sz w:val="18"/>
                <w:szCs w:val="18"/>
              </w:rPr>
              <w:t>se u zajedničke aktivnosti razrednog odjela i izvršava svoj dio zadatka; C. 1. 2. Promiče solidarnost u razredu.</w:t>
            </w:r>
          </w:p>
          <w:p w14:paraId="3678F38A" w14:textId="77777777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997D25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kompetencije;</w:t>
            </w:r>
          </w:p>
          <w:p w14:paraId="5923B319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sz w:val="18"/>
                <w:szCs w:val="18"/>
              </w:rPr>
              <w:t xml:space="preserve">C. 1. 2. Ponaša se u skladu s pravilima skupine; prepoznaje pravedno i pošteno ponašanje; </w:t>
            </w:r>
          </w:p>
          <w:p w14:paraId="499AA83D" w14:textId="77777777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sz w:val="18"/>
                <w:szCs w:val="18"/>
              </w:rPr>
              <w:t>C. 1. 3. Pridonosi skupini.</w:t>
            </w:r>
          </w:p>
          <w:p w14:paraId="4D35040D" w14:textId="0177B771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97D25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997D25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05E9430A" w14:textId="77777777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997D25">
              <w:rPr>
                <w:rFonts w:cstheme="minorHAnsi"/>
                <w:sz w:val="18"/>
                <w:szCs w:val="18"/>
              </w:rPr>
              <w:t xml:space="preserve"> –A.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97D25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97D25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</w:p>
          <w:p w14:paraId="60BD81B7" w14:textId="77777777" w:rsidR="001379CA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</w:p>
          <w:p w14:paraId="61263454" w14:textId="77777777" w:rsidR="001379CA" w:rsidRPr="00997D25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sz w:val="18"/>
                <w:szCs w:val="18"/>
              </w:rPr>
              <w:t xml:space="preserve">B. 1. 4. 4. Samovrednovanje/samoprocjena: na poticaj i uz pomoć učitelja procjenjuje je li uspješno riješio zadatak ili naučio; C. 1. 2. 2. Slika o sebi kao učeniku: učenik iskazuje pozitivna i visoka očekivanja i vjeruje u svoj uspjeh </w:t>
            </w:r>
            <w:r w:rsidRPr="00997D25">
              <w:rPr>
                <w:rFonts w:cstheme="minorHAnsi"/>
                <w:sz w:val="18"/>
                <w:szCs w:val="18"/>
              </w:rPr>
              <w:lastRenderedPageBreak/>
              <w:t>u učenju;</w:t>
            </w:r>
          </w:p>
          <w:p w14:paraId="17B06C24" w14:textId="11B2551B" w:rsidR="00F92A0F" w:rsidRDefault="001379CA" w:rsidP="001379CA">
            <w:pPr>
              <w:rPr>
                <w:rFonts w:cstheme="minorHAnsi"/>
                <w:sz w:val="18"/>
                <w:szCs w:val="18"/>
              </w:rPr>
            </w:pPr>
            <w:r w:rsidRPr="00997D25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5B5C0F33" w14:textId="77777777" w:rsidR="00F92A0F" w:rsidRPr="00BF4E34" w:rsidRDefault="00F92A0F" w:rsidP="00BF4E34">
      <w:pPr>
        <w:spacing w:after="0" w:line="240" w:lineRule="auto"/>
        <w:rPr>
          <w:rFonts w:cstheme="minorHAnsi"/>
          <w:sz w:val="18"/>
          <w:szCs w:val="18"/>
        </w:rPr>
      </w:pPr>
    </w:p>
    <w:p w14:paraId="57411356" w14:textId="77777777" w:rsidR="008E5959" w:rsidRPr="00BF4E34" w:rsidRDefault="008E5959" w:rsidP="00BF4E3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F4E34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4E3D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07BD"/>
    <w:rsid w:val="000C23D6"/>
    <w:rsid w:val="000C7515"/>
    <w:rsid w:val="000D1984"/>
    <w:rsid w:val="000D5894"/>
    <w:rsid w:val="000D5959"/>
    <w:rsid w:val="000E79DA"/>
    <w:rsid w:val="00111AA6"/>
    <w:rsid w:val="001125DA"/>
    <w:rsid w:val="001156FE"/>
    <w:rsid w:val="00123033"/>
    <w:rsid w:val="00123696"/>
    <w:rsid w:val="00125632"/>
    <w:rsid w:val="001307D7"/>
    <w:rsid w:val="00132D9D"/>
    <w:rsid w:val="00134D75"/>
    <w:rsid w:val="001379CA"/>
    <w:rsid w:val="00143E13"/>
    <w:rsid w:val="00164B8F"/>
    <w:rsid w:val="001732CB"/>
    <w:rsid w:val="00196C43"/>
    <w:rsid w:val="001B324B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2EDF"/>
    <w:rsid w:val="002224CE"/>
    <w:rsid w:val="00223228"/>
    <w:rsid w:val="00241EB3"/>
    <w:rsid w:val="00257BC4"/>
    <w:rsid w:val="00260805"/>
    <w:rsid w:val="00261AD9"/>
    <w:rsid w:val="00266C97"/>
    <w:rsid w:val="00271931"/>
    <w:rsid w:val="0027239A"/>
    <w:rsid w:val="0028395F"/>
    <w:rsid w:val="00283F31"/>
    <w:rsid w:val="00286F75"/>
    <w:rsid w:val="00292D07"/>
    <w:rsid w:val="00297B97"/>
    <w:rsid w:val="002A749D"/>
    <w:rsid w:val="002C2D75"/>
    <w:rsid w:val="002D0E97"/>
    <w:rsid w:val="002D13AE"/>
    <w:rsid w:val="002F6FDE"/>
    <w:rsid w:val="0030009E"/>
    <w:rsid w:val="00306B7A"/>
    <w:rsid w:val="00311C4B"/>
    <w:rsid w:val="0031395A"/>
    <w:rsid w:val="00320C60"/>
    <w:rsid w:val="0032186F"/>
    <w:rsid w:val="00336385"/>
    <w:rsid w:val="00350D39"/>
    <w:rsid w:val="0035370E"/>
    <w:rsid w:val="00354065"/>
    <w:rsid w:val="003572DC"/>
    <w:rsid w:val="00357CF6"/>
    <w:rsid w:val="0039110A"/>
    <w:rsid w:val="00393197"/>
    <w:rsid w:val="00394BFA"/>
    <w:rsid w:val="00395174"/>
    <w:rsid w:val="003A4E0A"/>
    <w:rsid w:val="003B6A0B"/>
    <w:rsid w:val="003C0FCC"/>
    <w:rsid w:val="003C4205"/>
    <w:rsid w:val="003D5E55"/>
    <w:rsid w:val="003E0B97"/>
    <w:rsid w:val="003E4E68"/>
    <w:rsid w:val="003E54A7"/>
    <w:rsid w:val="003E7E43"/>
    <w:rsid w:val="00401BC7"/>
    <w:rsid w:val="00402F88"/>
    <w:rsid w:val="004048B3"/>
    <w:rsid w:val="0040799D"/>
    <w:rsid w:val="00440298"/>
    <w:rsid w:val="0044146A"/>
    <w:rsid w:val="00471955"/>
    <w:rsid w:val="00476713"/>
    <w:rsid w:val="00480B96"/>
    <w:rsid w:val="0048768D"/>
    <w:rsid w:val="004A0624"/>
    <w:rsid w:val="004B6003"/>
    <w:rsid w:val="004B7B15"/>
    <w:rsid w:val="004D13E6"/>
    <w:rsid w:val="004F4593"/>
    <w:rsid w:val="004F6B44"/>
    <w:rsid w:val="00512C63"/>
    <w:rsid w:val="00527402"/>
    <w:rsid w:val="00535E1F"/>
    <w:rsid w:val="00540578"/>
    <w:rsid w:val="00544CB4"/>
    <w:rsid w:val="005454D7"/>
    <w:rsid w:val="00550483"/>
    <w:rsid w:val="0055156A"/>
    <w:rsid w:val="00552BA6"/>
    <w:rsid w:val="00554252"/>
    <w:rsid w:val="005617F5"/>
    <w:rsid w:val="0057793A"/>
    <w:rsid w:val="00584CF3"/>
    <w:rsid w:val="00590A09"/>
    <w:rsid w:val="005C5734"/>
    <w:rsid w:val="005C5C26"/>
    <w:rsid w:val="005C6EE7"/>
    <w:rsid w:val="005D7A3D"/>
    <w:rsid w:val="005E007C"/>
    <w:rsid w:val="005F5745"/>
    <w:rsid w:val="005F5910"/>
    <w:rsid w:val="00604239"/>
    <w:rsid w:val="00604519"/>
    <w:rsid w:val="00605A17"/>
    <w:rsid w:val="00614EE6"/>
    <w:rsid w:val="0063049C"/>
    <w:rsid w:val="00647844"/>
    <w:rsid w:val="00655CB6"/>
    <w:rsid w:val="00660BB5"/>
    <w:rsid w:val="00677482"/>
    <w:rsid w:val="00690CCC"/>
    <w:rsid w:val="006911F2"/>
    <w:rsid w:val="006A014C"/>
    <w:rsid w:val="006A42D2"/>
    <w:rsid w:val="006A6014"/>
    <w:rsid w:val="006B4713"/>
    <w:rsid w:val="006B4B4A"/>
    <w:rsid w:val="006C4A1F"/>
    <w:rsid w:val="006D0CED"/>
    <w:rsid w:val="006E2C13"/>
    <w:rsid w:val="006F39DA"/>
    <w:rsid w:val="007019F7"/>
    <w:rsid w:val="00711041"/>
    <w:rsid w:val="00722580"/>
    <w:rsid w:val="00724F26"/>
    <w:rsid w:val="0072768E"/>
    <w:rsid w:val="007425DD"/>
    <w:rsid w:val="00744FE4"/>
    <w:rsid w:val="0074612C"/>
    <w:rsid w:val="0076688E"/>
    <w:rsid w:val="00793E23"/>
    <w:rsid w:val="00796169"/>
    <w:rsid w:val="007A3ED8"/>
    <w:rsid w:val="007B6674"/>
    <w:rsid w:val="007C7A1B"/>
    <w:rsid w:val="007D0074"/>
    <w:rsid w:val="007E04A0"/>
    <w:rsid w:val="007E0919"/>
    <w:rsid w:val="007F3C21"/>
    <w:rsid w:val="00807FEF"/>
    <w:rsid w:val="0083622A"/>
    <w:rsid w:val="00836973"/>
    <w:rsid w:val="00861CFF"/>
    <w:rsid w:val="008868FB"/>
    <w:rsid w:val="00893568"/>
    <w:rsid w:val="00893A26"/>
    <w:rsid w:val="008B0F11"/>
    <w:rsid w:val="008B57AE"/>
    <w:rsid w:val="008C2808"/>
    <w:rsid w:val="008D4460"/>
    <w:rsid w:val="008D471D"/>
    <w:rsid w:val="008E5959"/>
    <w:rsid w:val="008E60A7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4512A"/>
    <w:rsid w:val="009604A0"/>
    <w:rsid w:val="00962B04"/>
    <w:rsid w:val="00964474"/>
    <w:rsid w:val="009644A0"/>
    <w:rsid w:val="00966A8E"/>
    <w:rsid w:val="009738CB"/>
    <w:rsid w:val="00984F5B"/>
    <w:rsid w:val="00985D6F"/>
    <w:rsid w:val="00997D25"/>
    <w:rsid w:val="009B092B"/>
    <w:rsid w:val="009B2431"/>
    <w:rsid w:val="009B67EE"/>
    <w:rsid w:val="009B7EC1"/>
    <w:rsid w:val="009C371D"/>
    <w:rsid w:val="009E27E3"/>
    <w:rsid w:val="009E57C4"/>
    <w:rsid w:val="009E6EEB"/>
    <w:rsid w:val="009E78C4"/>
    <w:rsid w:val="009F4D77"/>
    <w:rsid w:val="009F59F9"/>
    <w:rsid w:val="00A01702"/>
    <w:rsid w:val="00A01EC0"/>
    <w:rsid w:val="00A23321"/>
    <w:rsid w:val="00A2356C"/>
    <w:rsid w:val="00A245E9"/>
    <w:rsid w:val="00A4329B"/>
    <w:rsid w:val="00A601A2"/>
    <w:rsid w:val="00A75777"/>
    <w:rsid w:val="00A778E5"/>
    <w:rsid w:val="00A84076"/>
    <w:rsid w:val="00A855BD"/>
    <w:rsid w:val="00A92753"/>
    <w:rsid w:val="00A94184"/>
    <w:rsid w:val="00AC1FC0"/>
    <w:rsid w:val="00AC3CD0"/>
    <w:rsid w:val="00AC3E66"/>
    <w:rsid w:val="00AD474F"/>
    <w:rsid w:val="00AE2FA3"/>
    <w:rsid w:val="00AF3A9F"/>
    <w:rsid w:val="00AF6B6F"/>
    <w:rsid w:val="00B06C84"/>
    <w:rsid w:val="00B22D3D"/>
    <w:rsid w:val="00B34CEA"/>
    <w:rsid w:val="00B40E58"/>
    <w:rsid w:val="00B41744"/>
    <w:rsid w:val="00B5344D"/>
    <w:rsid w:val="00B65227"/>
    <w:rsid w:val="00B75FF2"/>
    <w:rsid w:val="00B7652C"/>
    <w:rsid w:val="00B85972"/>
    <w:rsid w:val="00B8717F"/>
    <w:rsid w:val="00BA025E"/>
    <w:rsid w:val="00BA1794"/>
    <w:rsid w:val="00BB1F37"/>
    <w:rsid w:val="00BB2C59"/>
    <w:rsid w:val="00BC04EA"/>
    <w:rsid w:val="00BC703E"/>
    <w:rsid w:val="00BC765A"/>
    <w:rsid w:val="00BF297E"/>
    <w:rsid w:val="00BF4E34"/>
    <w:rsid w:val="00BF6C5D"/>
    <w:rsid w:val="00C14520"/>
    <w:rsid w:val="00C2708B"/>
    <w:rsid w:val="00C37C3C"/>
    <w:rsid w:val="00C552A5"/>
    <w:rsid w:val="00C564F7"/>
    <w:rsid w:val="00C57A60"/>
    <w:rsid w:val="00C65091"/>
    <w:rsid w:val="00C710B2"/>
    <w:rsid w:val="00C842B0"/>
    <w:rsid w:val="00C952E3"/>
    <w:rsid w:val="00C9594B"/>
    <w:rsid w:val="00CA5EE7"/>
    <w:rsid w:val="00CB71E1"/>
    <w:rsid w:val="00CB7640"/>
    <w:rsid w:val="00CC0C5F"/>
    <w:rsid w:val="00CC129E"/>
    <w:rsid w:val="00CC5149"/>
    <w:rsid w:val="00CD7462"/>
    <w:rsid w:val="00CE3CA2"/>
    <w:rsid w:val="00CE7876"/>
    <w:rsid w:val="00CF294E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1B28"/>
    <w:rsid w:val="00D83440"/>
    <w:rsid w:val="00D92AF1"/>
    <w:rsid w:val="00DA0CD3"/>
    <w:rsid w:val="00DC60BE"/>
    <w:rsid w:val="00DD2670"/>
    <w:rsid w:val="00DD7D35"/>
    <w:rsid w:val="00DE5ED7"/>
    <w:rsid w:val="00DF240A"/>
    <w:rsid w:val="00DF5C06"/>
    <w:rsid w:val="00E06A5D"/>
    <w:rsid w:val="00E12724"/>
    <w:rsid w:val="00E16541"/>
    <w:rsid w:val="00E32DD7"/>
    <w:rsid w:val="00E40B7C"/>
    <w:rsid w:val="00E51BDF"/>
    <w:rsid w:val="00E52B14"/>
    <w:rsid w:val="00E57C63"/>
    <w:rsid w:val="00E63E69"/>
    <w:rsid w:val="00E704AA"/>
    <w:rsid w:val="00E7428D"/>
    <w:rsid w:val="00E81138"/>
    <w:rsid w:val="00E814C1"/>
    <w:rsid w:val="00ED32EB"/>
    <w:rsid w:val="00ED3C2F"/>
    <w:rsid w:val="00ED7CF0"/>
    <w:rsid w:val="00EE4548"/>
    <w:rsid w:val="00F417A3"/>
    <w:rsid w:val="00F45545"/>
    <w:rsid w:val="00F5655F"/>
    <w:rsid w:val="00F67029"/>
    <w:rsid w:val="00F70C9A"/>
    <w:rsid w:val="00F76695"/>
    <w:rsid w:val="00F82E95"/>
    <w:rsid w:val="00F831AA"/>
    <w:rsid w:val="00F857B3"/>
    <w:rsid w:val="00F86495"/>
    <w:rsid w:val="00F92A0F"/>
    <w:rsid w:val="00FA2191"/>
    <w:rsid w:val="00FA376D"/>
    <w:rsid w:val="00FB5133"/>
    <w:rsid w:val="00FB55F1"/>
    <w:rsid w:val="00FC1555"/>
    <w:rsid w:val="00FD0703"/>
    <w:rsid w:val="00FD081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B26771"/>
  <w15:docId w15:val="{E5AB140E-6258-4553-9722-AEC33B38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70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C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C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C9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7D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52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109/321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2019-08-20T13:26:00Z</dcterms:created>
  <dcterms:modified xsi:type="dcterms:W3CDTF">2021-07-13T17:09:00Z</dcterms:modified>
</cp:coreProperties>
</file>